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sz w:val="56"/>
          <w:szCs w:val="56"/>
        </w:rPr>
      </w:pPr>
      <w:r w:rsidDel="00000000" w:rsidR="00000000" w:rsidRPr="00000000">
        <w:rPr>
          <w:sz w:val="56"/>
          <w:szCs w:val="56"/>
          <w:rtl w:val="0"/>
        </w:rPr>
        <w:t xml:space="preserve">2019年二季度加密资产相关性检测</w:t>
      </w:r>
    </w:p>
    <w:p w:rsidR="00000000" w:rsidDel="00000000" w:rsidP="00000000" w:rsidRDefault="00000000" w:rsidRPr="00000000" w14:paraId="00000002">
      <w:pPr>
        <w:spacing w:line="276" w:lineRule="auto"/>
        <w:rPr>
          <w:color w:val="f0b90b"/>
        </w:rPr>
      </w:pPr>
      <w:r w:rsidDel="00000000" w:rsidR="00000000" w:rsidRPr="00000000">
        <w:rPr>
          <w:color w:val="f0b90b"/>
          <w:rtl w:val="0"/>
        </w:rPr>
        <w:t xml:space="preserve">2019年第二季度，加密资产之间仍高度相关吗？</w:t>
      </w:r>
    </w:p>
    <w:p w:rsidR="00000000" w:rsidDel="00000000" w:rsidP="00000000" w:rsidRDefault="00000000" w:rsidRPr="00000000" w14:paraId="00000003">
      <w:pPr>
        <w:pStyle w:val="Subtitle"/>
        <w:rPr>
          <w:color w:val="000000"/>
        </w:rPr>
      </w:pPr>
      <w:bookmarkStart w:colFirst="0" w:colLast="0" w:name="_3znysh7" w:id="0"/>
      <w:bookmarkEnd w:id="0"/>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t xml:space="preserve">币安研究院-</w:t>
      </w:r>
      <w:r w:rsidDel="00000000" w:rsidR="00000000" w:rsidRPr="00000000">
        <w:rPr>
          <w:rtl w:val="0"/>
        </w:rPr>
        <w:t xml:space="preserve">2019年7月5日</w:t>
      </w:r>
      <w:r w:rsidDel="00000000" w:rsidR="00000000" w:rsidRPr="00000000">
        <w:rPr>
          <w:rtl w:val="0"/>
        </w:rPr>
      </w:r>
    </w:p>
    <w:tbl>
      <w:tblPr>
        <w:tblStyle w:val="Table1"/>
        <w:tblW w:w="9585.0" w:type="dxa"/>
        <w:jc w:val="left"/>
        <w:tblInd w:w="55.0" w:type="dxa"/>
        <w:tblLayout w:type="fixed"/>
        <w:tblLook w:val="0600"/>
      </w:tblPr>
      <w:tblGrid>
        <w:gridCol w:w="9585"/>
        <w:tblGridChange w:id="0">
          <w:tblGrid>
            <w:gridCol w:w="9585"/>
          </w:tblGrid>
        </w:tblGridChange>
      </w:tblGrid>
      <w:t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tcPr>
          <w:p w:rsidR="00000000" w:rsidDel="00000000" w:rsidP="00000000" w:rsidRDefault="00000000" w:rsidRPr="00000000" w14:paraId="00000005">
            <w:pPr>
              <w:pStyle w:val="Heading2"/>
              <w:spacing w:line="276" w:lineRule="auto"/>
              <w:ind w:left="283"/>
              <w:rPr>
                <w:color w:val="000000"/>
              </w:rPr>
            </w:pPr>
            <w:bookmarkStart w:colFirst="0" w:colLast="0" w:name="_2et92p0" w:id="1"/>
            <w:bookmarkEnd w:id="1"/>
            <w:r w:rsidDel="00000000" w:rsidR="00000000" w:rsidRPr="00000000">
              <w:rPr>
                <w:color w:val="000000"/>
                <w:rtl w:val="0"/>
              </w:rPr>
              <w:t xml:space="preserve">关键要点</w:t>
            </w:r>
          </w:p>
        </w:tc>
      </w:tr>
      <w:tr>
        <w:tc>
          <w:tcPr>
            <w:tcBorders>
              <w:top w:color="000000" w:space="0" w:sz="0" w:val="nil"/>
              <w:left w:color="000000" w:space="0" w:sz="0" w:val="nil"/>
              <w:bottom w:color="000000" w:space="0" w:sz="0" w:val="nil"/>
              <w:right w:color="000000" w:space="0" w:sz="0" w:val="nil"/>
            </w:tcBorders>
            <w:shd w:fill="f3f3f3" w:val="clear"/>
            <w:tcMar>
              <w:top w:w="141.0" w:type="dxa"/>
              <w:left w:w="141.0" w:type="dxa"/>
              <w:bottom w:w="141.0" w:type="dxa"/>
              <w:right w:w="141.0" w:type="dxa"/>
            </w:tcMar>
          </w:tcPr>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numPr>
                <w:ilvl w:val="0"/>
                <w:numId w:val="3"/>
              </w:numPr>
              <w:spacing w:line="276" w:lineRule="auto"/>
              <w:ind w:left="720" w:hanging="360"/>
              <w:rPr/>
            </w:pPr>
            <w:r w:rsidDel="00000000" w:rsidR="00000000" w:rsidRPr="00000000">
              <w:rPr>
                <w:rtl w:val="0"/>
              </w:rPr>
              <w:t xml:space="preserve">加密货币和数字资产市场经历了自</w:t>
            </w:r>
            <w:r w:rsidDel="00000000" w:rsidR="00000000" w:rsidRPr="00000000">
              <w:rPr>
                <w:rtl w:val="0"/>
              </w:rPr>
              <w:t xml:space="preserve">2017</w:t>
            </w:r>
            <w:r w:rsidDel="00000000" w:rsidR="00000000" w:rsidRPr="00000000">
              <w:rPr>
                <w:rtl w:val="0"/>
              </w:rPr>
              <w:t xml:space="preserve">年以来</w:t>
            </w:r>
            <w:r w:rsidDel="00000000" w:rsidR="00000000" w:rsidRPr="00000000">
              <w:rPr>
                <w:b w:val="1"/>
                <w:rtl w:val="0"/>
              </w:rPr>
              <w:t xml:space="preserve">涨势最好的</w:t>
            </w:r>
            <w:r w:rsidDel="00000000" w:rsidR="00000000" w:rsidRPr="00000000">
              <w:rPr>
                <w:b w:val="1"/>
                <w:rtl w:val="0"/>
              </w:rPr>
              <w:t xml:space="preserve">3个月</w:t>
            </w:r>
            <w:r w:rsidDel="00000000" w:rsidR="00000000" w:rsidRPr="00000000">
              <w:rPr>
                <w:rtl w:val="0"/>
              </w:rPr>
              <w:t xml:space="preserve">（按总体市值变化衡量）</w:t>
            </w:r>
          </w:p>
          <w:p w:rsidR="00000000" w:rsidDel="00000000" w:rsidP="00000000" w:rsidRDefault="00000000" w:rsidRPr="00000000" w14:paraId="00000008">
            <w:pPr>
              <w:numPr>
                <w:ilvl w:val="0"/>
                <w:numId w:val="3"/>
              </w:numPr>
              <w:spacing w:line="276" w:lineRule="auto"/>
              <w:ind w:left="720" w:hanging="360"/>
              <w:rPr/>
            </w:pPr>
            <w:r w:rsidDel="00000000" w:rsidR="00000000" w:rsidRPr="00000000">
              <w:rPr>
                <w:rtl w:val="0"/>
              </w:rPr>
              <w:t xml:space="preserve">比特币(BTC) 在2019年第一季度与其他加密资产之间展现出较高的平均相关性，但第二季度其相关性显著下降，在此期间，比特币价格上涨了</w:t>
            </w:r>
            <w:r w:rsidDel="00000000" w:rsidR="00000000" w:rsidRPr="00000000">
              <w:rPr>
                <w:rtl w:val="0"/>
              </w:rPr>
              <w:t xml:space="preserve">300%</w:t>
            </w:r>
            <w:r w:rsidDel="00000000" w:rsidR="00000000" w:rsidRPr="00000000">
              <w:rPr>
                <w:rtl w:val="0"/>
              </w:rPr>
              <w:t xml:space="preserve">，市值占有率达到</w:t>
            </w:r>
            <w:r w:rsidDel="00000000" w:rsidR="00000000" w:rsidRPr="00000000">
              <w:rPr>
                <w:rtl w:val="0"/>
              </w:rPr>
              <w:t xml:space="preserve">60%</w:t>
            </w:r>
            <w:r w:rsidDel="00000000" w:rsidR="00000000" w:rsidRPr="00000000">
              <w:rPr>
                <w:rtl w:val="0"/>
              </w:rPr>
              <w:t xml:space="preserve">以上，创下年内新高。</w:t>
            </w:r>
          </w:p>
          <w:p w:rsidR="00000000" w:rsidDel="00000000" w:rsidP="00000000" w:rsidRDefault="00000000" w:rsidRPr="00000000" w14:paraId="00000009">
            <w:pPr>
              <w:numPr>
                <w:ilvl w:val="0"/>
                <w:numId w:val="3"/>
              </w:numPr>
              <w:spacing w:line="276" w:lineRule="auto"/>
              <w:ind w:left="720" w:hanging="360"/>
              <w:rPr/>
            </w:pPr>
            <w:r w:rsidDel="00000000" w:rsidR="00000000" w:rsidRPr="00000000">
              <w:rPr>
                <w:rtl w:val="0"/>
              </w:rPr>
              <w:t xml:space="preserve">2019年第二季度，受更多重大特质因子影响（如：重大新闻事件）的加密资产，如</w:t>
            </w:r>
            <w:r w:rsidDel="00000000" w:rsidR="00000000" w:rsidRPr="00000000">
              <w:rPr>
                <w:b w:val="1"/>
                <w:rtl w:val="0"/>
              </w:rPr>
              <w:t xml:space="preserve">BNB、LINK</w:t>
            </w:r>
            <w:r w:rsidDel="00000000" w:rsidR="00000000" w:rsidRPr="00000000">
              <w:rPr>
                <w:rtl w:val="0"/>
              </w:rPr>
              <w:t xml:space="preserve">或</w:t>
            </w:r>
            <w:r w:rsidDel="00000000" w:rsidR="00000000" w:rsidRPr="00000000">
              <w:rPr>
                <w:b w:val="1"/>
                <w:rtl w:val="0"/>
              </w:rPr>
              <w:t xml:space="preserve">BSV</w:t>
            </w:r>
            <w:r w:rsidDel="00000000" w:rsidR="00000000" w:rsidRPr="00000000">
              <w:rPr>
                <w:rtl w:val="0"/>
              </w:rPr>
              <w:t xml:space="preserve">，与其他加密资产之间展现出较低的平均相关性。</w:t>
            </w:r>
          </w:p>
          <w:p w:rsidR="00000000" w:rsidDel="00000000" w:rsidP="00000000" w:rsidRDefault="00000000" w:rsidRPr="00000000" w14:paraId="0000000A">
            <w:pPr>
              <w:numPr>
                <w:ilvl w:val="0"/>
                <w:numId w:val="3"/>
              </w:numPr>
              <w:spacing w:line="276" w:lineRule="auto"/>
              <w:ind w:left="720" w:hanging="360"/>
              <w:rPr/>
            </w:pPr>
            <w:r w:rsidDel="00000000" w:rsidR="00000000" w:rsidRPr="00000000">
              <w:rPr>
                <w:rtl w:val="0"/>
              </w:rPr>
              <w:t xml:space="preserve">本文再次探讨了“币安效应”，因为未在币安交易平台上币的加密货币平均相关性要低于在币安交易平台上币的加密货币。</w:t>
            </w:r>
          </w:p>
          <w:p w:rsidR="00000000" w:rsidDel="00000000" w:rsidP="00000000" w:rsidRDefault="00000000" w:rsidRPr="00000000" w14:paraId="0000000B">
            <w:pPr>
              <w:numPr>
                <w:ilvl w:val="0"/>
                <w:numId w:val="3"/>
              </w:numPr>
              <w:spacing w:line="276" w:lineRule="auto"/>
              <w:ind w:left="720" w:hanging="360"/>
              <w:rPr/>
            </w:pPr>
            <w:r w:rsidDel="00000000" w:rsidR="00000000" w:rsidRPr="00000000">
              <w:rPr>
                <w:rtl w:val="0"/>
              </w:rPr>
              <w:t xml:space="preserve">与</w:t>
            </w:r>
            <w:r w:rsidDel="00000000" w:rsidR="00000000" w:rsidRPr="00000000">
              <w:rPr>
                <w:rtl w:val="0"/>
              </w:rPr>
              <w:t xml:space="preserve">第一季度</w:t>
            </w:r>
            <w:r w:rsidDel="00000000" w:rsidR="00000000" w:rsidRPr="00000000">
              <w:rPr>
                <w:rtl w:val="0"/>
              </w:rPr>
              <w:t xml:space="preserve">相同的是，采用工作量证明机制的加密资产彼此之间的相关性</w:t>
            </w:r>
            <w:r w:rsidDel="00000000" w:rsidR="00000000" w:rsidRPr="00000000">
              <w:rPr>
                <w:b w:val="1"/>
                <w:rtl w:val="0"/>
              </w:rPr>
              <w:t xml:space="preserve">要高于</w:t>
            </w:r>
            <w:r w:rsidDel="00000000" w:rsidR="00000000" w:rsidRPr="00000000">
              <w:rPr>
                <w:rtl w:val="0"/>
              </w:rPr>
              <w:t xml:space="preserve">其与采用非工作量（POW）证明机制的加密资产之间的相关性。有趣的是，与</w:t>
            </w:r>
            <w:r w:rsidDel="00000000" w:rsidR="00000000" w:rsidRPr="00000000">
              <w:rPr>
                <w:rtl w:val="0"/>
              </w:rPr>
              <w:t xml:space="preserve">2019年1-3月</w:t>
            </w:r>
            <w:r w:rsidDel="00000000" w:rsidR="00000000" w:rsidRPr="00000000">
              <w:rPr>
                <w:rtl w:val="0"/>
              </w:rPr>
              <w:t xml:space="preserve">相比，采用工作量证明机制的加密货币的平均相关性在</w:t>
            </w:r>
            <w:r w:rsidDel="00000000" w:rsidR="00000000" w:rsidRPr="00000000">
              <w:rPr>
                <w:rtl w:val="0"/>
              </w:rPr>
              <w:t xml:space="preserve">第二季度</w:t>
            </w:r>
            <w:r w:rsidDel="00000000" w:rsidR="00000000" w:rsidRPr="00000000">
              <w:rPr>
                <w:rtl w:val="0"/>
              </w:rPr>
              <w:t xml:space="preserve">下降幅度最大。</w:t>
            </w:r>
          </w:p>
          <w:p w:rsidR="00000000" w:rsidDel="00000000" w:rsidP="00000000" w:rsidRDefault="00000000" w:rsidRPr="00000000" w14:paraId="0000000C">
            <w:pPr>
              <w:numPr>
                <w:ilvl w:val="0"/>
                <w:numId w:val="3"/>
              </w:numPr>
              <w:spacing w:line="276" w:lineRule="auto"/>
              <w:ind w:left="720" w:hanging="360"/>
              <w:rPr/>
            </w:pPr>
            <w:r w:rsidDel="00000000" w:rsidR="00000000" w:rsidRPr="00000000">
              <w:rPr>
                <w:rtl w:val="0"/>
              </w:rPr>
              <w:t xml:space="preserve">其他因素包括：</w:t>
            </w:r>
          </w:p>
          <w:p w:rsidR="00000000" w:rsidDel="00000000" w:rsidP="00000000" w:rsidRDefault="00000000" w:rsidRPr="00000000" w14:paraId="0000000D">
            <w:pPr>
              <w:numPr>
                <w:ilvl w:val="1"/>
                <w:numId w:val="3"/>
              </w:numPr>
              <w:spacing w:line="276" w:lineRule="auto"/>
              <w:ind w:left="1440" w:hanging="360"/>
              <w:rPr/>
            </w:pPr>
            <w:r w:rsidDel="00000000" w:rsidR="00000000" w:rsidRPr="00000000">
              <w:rPr>
                <w:b w:val="1"/>
                <w:rtl w:val="0"/>
              </w:rPr>
              <w:t xml:space="preserve">隐私币互相</w:t>
            </w:r>
            <w:r w:rsidDel="00000000" w:rsidR="00000000" w:rsidRPr="00000000">
              <w:rPr>
                <w:rtl w:val="0"/>
              </w:rPr>
              <w:t xml:space="preserve">之间的相关性要高于平均水平。</w:t>
            </w:r>
          </w:p>
          <w:p w:rsidR="00000000" w:rsidDel="00000000" w:rsidP="00000000" w:rsidRDefault="00000000" w:rsidRPr="00000000" w14:paraId="0000000E">
            <w:pPr>
              <w:numPr>
                <w:ilvl w:val="1"/>
                <w:numId w:val="3"/>
              </w:numPr>
              <w:spacing w:line="276" w:lineRule="auto"/>
              <w:ind w:left="1440" w:hanging="360"/>
              <w:rPr/>
            </w:pPr>
            <w:r w:rsidDel="00000000" w:rsidR="00000000" w:rsidRPr="00000000">
              <w:rPr>
                <w:b w:val="1"/>
                <w:rtl w:val="0"/>
              </w:rPr>
              <w:t xml:space="preserve">功能相似（例如XRP 与XLM）</w:t>
            </w:r>
            <w:r w:rsidDel="00000000" w:rsidR="00000000" w:rsidRPr="00000000">
              <w:rPr>
                <w:rtl w:val="0"/>
              </w:rPr>
              <w:t xml:space="preserve">的两种加密资产之间的相关性似乎高于平均水平</w:t>
            </w:r>
          </w:p>
          <w:p w:rsidR="00000000" w:rsidDel="00000000" w:rsidP="00000000" w:rsidRDefault="00000000" w:rsidRPr="00000000" w14:paraId="0000000F">
            <w:pPr>
              <w:numPr>
                <w:ilvl w:val="0"/>
                <w:numId w:val="3"/>
              </w:numPr>
              <w:spacing w:line="276" w:lineRule="auto"/>
              <w:ind w:left="720" w:hanging="360"/>
              <w:rPr/>
            </w:pPr>
            <w:r w:rsidDel="00000000" w:rsidR="00000000" w:rsidRPr="00000000">
              <w:rPr>
                <w:rtl w:val="0"/>
              </w:rPr>
              <w:t xml:space="preserve">在Binance Launchpad</w:t>
            </w:r>
            <w:r w:rsidDel="00000000" w:rsidR="00000000" w:rsidRPr="00000000">
              <w:rPr>
                <w:b w:val="1"/>
                <w:rtl w:val="0"/>
              </w:rPr>
              <w:t xml:space="preserve">上公开发行的加密资产，</w:t>
            </w:r>
            <w:r w:rsidDel="00000000" w:rsidR="00000000" w:rsidRPr="00000000">
              <w:rPr>
                <w:rtl w:val="0"/>
              </w:rPr>
              <w:t xml:space="preserve">平均来看</w:t>
            </w:r>
            <w:r w:rsidDel="00000000" w:rsidR="00000000" w:rsidRPr="00000000">
              <w:rPr>
                <w:b w:val="1"/>
                <w:rtl w:val="0"/>
              </w:rPr>
              <w:t xml:space="preserve">彼此之间的相关性较低，</w:t>
            </w:r>
            <w:r w:rsidDel="00000000" w:rsidR="00000000" w:rsidRPr="00000000">
              <w:rPr>
                <w:rtl w:val="0"/>
              </w:rPr>
              <w:t xml:space="preserve">这可能是由于它们受更多特质因子的影响。但</w:t>
            </w:r>
            <w:r w:rsidDel="00000000" w:rsidR="00000000" w:rsidRPr="00000000">
              <w:rPr>
                <w:rtl w:val="0"/>
              </w:rPr>
              <w:t xml:space="preserve">2019年3月份</w:t>
            </w:r>
            <w:r w:rsidDel="00000000" w:rsidR="00000000" w:rsidRPr="00000000">
              <w:rPr>
                <w:rtl w:val="0"/>
              </w:rPr>
              <w:t xml:space="preserve">开展IEO（首次交易平台发行）的两个项目</w:t>
            </w:r>
            <w:r w:rsidDel="00000000" w:rsidR="00000000" w:rsidRPr="00000000">
              <w:rPr>
                <w:b w:val="1"/>
                <w:rtl w:val="0"/>
              </w:rPr>
              <w:t xml:space="preserve">Fetch (FET) </w:t>
            </w:r>
            <w:r w:rsidDel="00000000" w:rsidR="00000000" w:rsidRPr="00000000">
              <w:rPr>
                <w:rtl w:val="0"/>
              </w:rPr>
              <w:t xml:space="preserve">和</w:t>
            </w:r>
            <w:r w:rsidDel="00000000" w:rsidR="00000000" w:rsidRPr="00000000">
              <w:rPr>
                <w:b w:val="1"/>
                <w:rtl w:val="0"/>
              </w:rPr>
              <w:t xml:space="preserve"> Celer Network (CELR)之间显示出极高的相关性</w:t>
            </w:r>
            <w:r w:rsidDel="00000000" w:rsidR="00000000" w:rsidRPr="00000000">
              <w:rPr>
                <w:b w:val="1"/>
                <w:rtl w:val="0"/>
              </w:rPr>
              <w:t xml:space="preserve">（0.87）</w:t>
            </w:r>
          </w:p>
          <w:p w:rsidR="00000000" w:rsidDel="00000000" w:rsidP="00000000" w:rsidRDefault="00000000" w:rsidRPr="00000000" w14:paraId="00000010">
            <w:pPr>
              <w:spacing w:line="276" w:lineRule="auto"/>
              <w:ind w:left="720" w:firstLine="0"/>
              <w:rPr>
                <w:b w:val="1"/>
              </w:rPr>
            </w:pPr>
            <w:r w:rsidDel="00000000" w:rsidR="00000000" w:rsidRPr="00000000">
              <w:rPr>
                <w:rtl w:val="0"/>
              </w:rPr>
            </w:r>
          </w:p>
        </w:tc>
      </w:tr>
    </w:tbl>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在金融行业，分析师和基金管理人广泛应用相关性来有效分配他们在各大部门和行业的资产，并进行多样化配置。尽管加密资产行业仍处于起步阶段，这些指标也逐渐更加频繁地得到所有加密资产利益相关方（无论是机构客户还是散户）的详细审查和分析。</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本报告将对</w:t>
      </w:r>
      <w:r w:rsidDel="00000000" w:rsidR="00000000" w:rsidRPr="00000000">
        <w:rPr>
          <w:rtl w:val="0"/>
        </w:rPr>
        <w:t xml:space="preserve">2019年1-6月部分</w:t>
      </w:r>
      <w:r w:rsidDel="00000000" w:rsidR="00000000" w:rsidRPr="00000000">
        <w:rPr>
          <w:rtl w:val="0"/>
        </w:rPr>
        <w:t xml:space="preserve">大型加密资产的相关性进行分析。</w:t>
      </w:r>
    </w:p>
    <w:p w:rsidR="00000000" w:rsidDel="00000000" w:rsidP="00000000" w:rsidRDefault="00000000" w:rsidRPr="00000000" w14:paraId="00000016">
      <w:pPr>
        <w:spacing w:line="276" w:lineRule="auto"/>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276" w:lineRule="auto"/>
        <w:rPr>
          <w:sz w:val="40"/>
          <w:szCs w:val="40"/>
        </w:rPr>
      </w:pPr>
      <w:r w:rsidDel="00000000" w:rsidR="00000000" w:rsidRPr="00000000">
        <w:rPr>
          <w:sz w:val="40"/>
          <w:szCs w:val="40"/>
          <w:rtl w:val="0"/>
        </w:rPr>
        <w:t xml:space="preserve">1.2019年第二季度市场表现概述</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尽管在第二季度最后几天有所回落，</w:t>
      </w:r>
      <w:r w:rsidDel="00000000" w:rsidR="00000000" w:rsidRPr="00000000">
        <w:rPr>
          <w:b w:val="1"/>
          <w:rtl w:val="0"/>
        </w:rPr>
        <w:t xml:space="preserve">但</w:t>
      </w:r>
      <w:r w:rsidDel="00000000" w:rsidR="00000000" w:rsidRPr="00000000">
        <w:rPr>
          <w:b w:val="1"/>
          <w:rtl w:val="0"/>
        </w:rPr>
        <w:t xml:space="preserve">2019年前两个季度</w:t>
      </w:r>
      <w:r w:rsidDel="00000000" w:rsidR="00000000" w:rsidRPr="00000000">
        <w:rPr>
          <w:b w:val="1"/>
          <w:rtl w:val="0"/>
        </w:rPr>
        <w:t xml:space="preserve">加密资产市场整体表现非常强劲。</w:t>
      </w: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上季度，加密资产行业总价值上涨</w:t>
      </w:r>
      <w:r w:rsidDel="00000000" w:rsidR="00000000" w:rsidRPr="00000000">
        <w:rPr>
          <w:rtl w:val="0"/>
        </w:rPr>
        <w:t xml:space="preserve">139%</w:t>
      </w:r>
      <w:r w:rsidDel="00000000" w:rsidR="00000000" w:rsidRPr="00000000">
        <w:rPr>
          <w:rtl w:val="0"/>
        </w:rPr>
        <w:t xml:space="preserve">，是</w:t>
      </w:r>
      <w:r w:rsidDel="00000000" w:rsidR="00000000" w:rsidRPr="00000000">
        <w:rPr>
          <w:rtl w:val="0"/>
        </w:rPr>
        <w:t xml:space="preserve">2014</w:t>
      </w:r>
      <w:r w:rsidDel="00000000" w:rsidR="00000000" w:rsidRPr="00000000">
        <w:rPr>
          <w:rtl w:val="0"/>
        </w:rPr>
        <w:t xml:space="preserve">年以来该行业增速</w:t>
      </w:r>
      <w:r w:rsidDel="00000000" w:rsidR="00000000" w:rsidRPr="00000000">
        <w:rPr>
          <w:rtl w:val="0"/>
        </w:rPr>
        <w:t xml:space="preserve">第三快的</w:t>
      </w:r>
      <w:r w:rsidDel="00000000" w:rsidR="00000000" w:rsidRPr="00000000">
        <w:rPr>
          <w:rtl w:val="0"/>
        </w:rPr>
        <w:t xml:space="preserve">一个季度。按绝对美元金额计算，加密资产的美元总价值在</w:t>
      </w:r>
      <w:r w:rsidDel="00000000" w:rsidR="00000000" w:rsidRPr="00000000">
        <w:rPr>
          <w:rtl w:val="0"/>
        </w:rPr>
        <w:t xml:space="preserve">2019年第二季度增加了约</w:t>
      </w:r>
      <w:r w:rsidDel="00000000" w:rsidR="00000000" w:rsidRPr="00000000">
        <w:rPr>
          <w:b w:val="1"/>
          <w:rtl w:val="0"/>
        </w:rPr>
        <w:t xml:space="preserve">1990亿美元</w:t>
      </w:r>
      <w:r w:rsidDel="00000000" w:rsidR="00000000" w:rsidRPr="00000000">
        <w:rPr>
          <w:rtl w:val="0"/>
        </w:rPr>
        <w:t xml:space="preserve">，在2014年以来的季度涨幅历史记录中</w:t>
      </w:r>
      <w:r w:rsidDel="00000000" w:rsidR="00000000" w:rsidRPr="00000000">
        <w:rPr>
          <w:rtl w:val="0"/>
        </w:rPr>
        <w:t xml:space="preserve">排名第二</w:t>
      </w:r>
      <w:r w:rsidDel="00000000" w:rsidR="00000000" w:rsidRPr="00000000">
        <w:rPr>
          <w:rtl w:val="0"/>
        </w:rPr>
        <w:t xml:space="preserve">，仅次于</w:t>
      </w:r>
      <w:r w:rsidDel="00000000" w:rsidR="00000000" w:rsidRPr="00000000">
        <w:rPr>
          <w:rtl w:val="0"/>
        </w:rPr>
        <w:t xml:space="preserve">2017年第四季度的牛市大涨</w:t>
      </w:r>
      <w:r w:rsidDel="00000000" w:rsidR="00000000" w:rsidRPr="00000000">
        <w:rPr>
          <w:rtl w:val="0"/>
        </w:rPr>
        <w:t xml:space="preserve">。</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b w:val="1"/>
        </w:rPr>
      </w:pPr>
      <w:r w:rsidDel="00000000" w:rsidR="00000000" w:rsidRPr="00000000">
        <w:rPr>
          <w:b w:val="1"/>
          <w:rtl w:val="0"/>
        </w:rPr>
        <w:t xml:space="preserve">图1-2019年加密资产市值的季度变化（%）</w:t>
      </w:r>
    </w:p>
    <w:p w:rsidR="00000000" w:rsidDel="00000000" w:rsidP="00000000" w:rsidRDefault="00000000" w:rsidRPr="00000000" w14:paraId="0000001E">
      <w:pPr>
        <w:spacing w:line="276" w:lineRule="auto"/>
        <w:rPr/>
      </w:pPr>
      <w:r w:rsidDel="00000000" w:rsidR="00000000" w:rsidRPr="00000000">
        <w:rPr/>
        <w:drawing>
          <wp:inline distB="114300" distT="114300" distL="114300" distR="114300">
            <wp:extent cx="5819775" cy="2014538"/>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19775"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jc w:val="right"/>
        <w:rPr>
          <w:i w:val="1"/>
          <w:sz w:val="20"/>
          <w:szCs w:val="20"/>
        </w:rPr>
      </w:pPr>
      <w:r w:rsidDel="00000000" w:rsidR="00000000" w:rsidRPr="00000000">
        <w:rPr>
          <w:i w:val="1"/>
          <w:sz w:val="20"/>
          <w:szCs w:val="20"/>
          <w:rtl w:val="0"/>
        </w:rPr>
        <w:t xml:space="preserve">来源：币安研究院、CoinMarketCap</w:t>
      </w:r>
    </w:p>
    <w:p w:rsidR="00000000" w:rsidDel="00000000" w:rsidP="00000000" w:rsidRDefault="00000000" w:rsidRPr="00000000" w14:paraId="00000020">
      <w:pPr>
        <w:spacing w:line="276" w:lineRule="auto"/>
        <w:rPr>
          <w:b w:val="1"/>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b w:val="1"/>
          <w:rtl w:val="0"/>
        </w:rPr>
        <w:t xml:space="preserve">图2-2019年加密资产市值的季度变化</w:t>
      </w:r>
      <w:r w:rsidDel="00000000" w:rsidR="00000000" w:rsidRPr="00000000">
        <w:rPr>
          <w:rtl w:val="0"/>
        </w:rPr>
        <w:t xml:space="preserve">（十亿美元）</w:t>
      </w:r>
    </w:p>
    <w:p w:rsidR="00000000" w:rsidDel="00000000" w:rsidP="00000000" w:rsidRDefault="00000000" w:rsidRPr="00000000" w14:paraId="00000022">
      <w:pPr>
        <w:spacing w:line="276" w:lineRule="auto"/>
        <w:jc w:val="right"/>
        <w:rPr>
          <w:i w:val="1"/>
          <w:sz w:val="20"/>
          <w:szCs w:val="20"/>
        </w:rPr>
      </w:pPr>
      <w:r w:rsidDel="00000000" w:rsidR="00000000" w:rsidRPr="00000000">
        <w:rPr>
          <w:b w:val="1"/>
        </w:rPr>
        <w:drawing>
          <wp:inline distB="114300" distT="114300" distL="114300" distR="114300">
            <wp:extent cx="5904408" cy="2166938"/>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04408" cy="2166938"/>
                    </a:xfrm>
                    <a:prstGeom prst="rect"/>
                    <a:ln/>
                  </pic:spPr>
                </pic:pic>
              </a:graphicData>
            </a:graphic>
          </wp:inline>
        </w:drawing>
      </w:r>
      <w:r w:rsidDel="00000000" w:rsidR="00000000" w:rsidRPr="00000000">
        <w:rPr>
          <w:b w:val="1"/>
          <w:rtl w:val="0"/>
        </w:rPr>
        <w:br w:type="textWrapping"/>
      </w:r>
      <w:r w:rsidDel="00000000" w:rsidR="00000000" w:rsidRPr="00000000">
        <w:rPr>
          <w:i w:val="1"/>
          <w:sz w:val="20"/>
          <w:szCs w:val="20"/>
          <w:rtl w:val="0"/>
        </w:rPr>
        <w:t xml:space="preserve">来源：币安研究院、CoinMarketCap</w:t>
      </w:r>
    </w:p>
    <w:p w:rsidR="00000000" w:rsidDel="00000000" w:rsidP="00000000" w:rsidRDefault="00000000" w:rsidRPr="00000000" w14:paraId="00000023">
      <w:pPr>
        <w:spacing w:line="276" w:lineRule="auto"/>
        <w:ind w:right="221"/>
        <w:jc w:val="right"/>
        <w:rPr>
          <w:b w:val="1"/>
        </w:rPr>
      </w:pPr>
      <w:r w:rsidDel="00000000" w:rsidR="00000000" w:rsidRPr="00000000">
        <w:rPr>
          <w:rtl w:val="0"/>
        </w:rPr>
      </w:r>
    </w:p>
    <w:p w:rsidR="00000000" w:rsidDel="00000000" w:rsidP="00000000" w:rsidRDefault="00000000" w:rsidRPr="00000000" w14:paraId="00000024">
      <w:pPr>
        <w:spacing w:line="276" w:lineRule="auto"/>
        <w:rPr>
          <w:sz w:val="40"/>
          <w:szCs w:val="40"/>
        </w:rPr>
      </w:pPr>
      <w:r w:rsidDel="00000000" w:rsidR="00000000" w:rsidRPr="00000000">
        <w:rPr>
          <w:rtl w:val="0"/>
        </w:rPr>
      </w:r>
    </w:p>
    <w:p w:rsidR="00000000" w:rsidDel="00000000" w:rsidP="00000000" w:rsidRDefault="00000000" w:rsidRPr="00000000" w14:paraId="00000025">
      <w:pPr>
        <w:spacing w:line="276" w:lineRule="auto"/>
        <w:rPr>
          <w:sz w:val="40"/>
          <w:szCs w:val="40"/>
        </w:rPr>
      </w:pPr>
      <w:r w:rsidDel="00000000" w:rsidR="00000000" w:rsidRPr="00000000">
        <w:rPr>
          <w:rtl w:val="0"/>
        </w:rPr>
      </w:r>
    </w:p>
    <w:p w:rsidR="00000000" w:rsidDel="00000000" w:rsidP="00000000" w:rsidRDefault="00000000" w:rsidRPr="00000000" w14:paraId="00000026">
      <w:pPr>
        <w:spacing w:line="276" w:lineRule="auto"/>
        <w:rPr>
          <w:sz w:val="40"/>
          <w:szCs w:val="40"/>
        </w:rPr>
      </w:pPr>
      <w:r w:rsidDel="00000000" w:rsidR="00000000" w:rsidRPr="00000000">
        <w:rPr>
          <w:rtl w:val="0"/>
        </w:rPr>
      </w:r>
    </w:p>
    <w:p w:rsidR="00000000" w:rsidDel="00000000" w:rsidP="00000000" w:rsidRDefault="00000000" w:rsidRPr="00000000" w14:paraId="00000027">
      <w:pPr>
        <w:spacing w:line="276" w:lineRule="auto"/>
        <w:rPr>
          <w:sz w:val="40"/>
          <w:szCs w:val="40"/>
        </w:rPr>
      </w:pPr>
      <w:r w:rsidDel="00000000" w:rsidR="00000000" w:rsidRPr="00000000">
        <w:rPr>
          <w:sz w:val="40"/>
          <w:szCs w:val="40"/>
          <w:rtl w:val="0"/>
        </w:rPr>
        <w:t xml:space="preserve">2. 2019年第二季度相关性快览</w:t>
      </w:r>
    </w:p>
    <w:p w:rsidR="00000000" w:rsidDel="00000000" w:rsidP="00000000" w:rsidRDefault="00000000" w:rsidRPr="00000000" w14:paraId="00000028">
      <w:pPr>
        <w:spacing w:line="276" w:lineRule="auto"/>
        <w:rPr>
          <w:sz w:val="40"/>
          <w:szCs w:val="40"/>
        </w:rPr>
      </w:pPr>
      <w:r w:rsidDel="00000000" w:rsidR="00000000" w:rsidRPr="00000000">
        <w:rPr>
          <w:rtl w:val="0"/>
        </w:rPr>
      </w:r>
    </w:p>
    <w:p w:rsidR="00000000" w:rsidDel="00000000" w:rsidP="00000000" w:rsidRDefault="00000000" w:rsidRPr="00000000" w14:paraId="00000029">
      <w:pPr>
        <w:pBdr>
          <w:left w:color="f0b90b" w:space="6" w:sz="18" w:val="single"/>
        </w:pBdr>
        <w:spacing w:after="200" w:line="276" w:lineRule="auto"/>
        <w:ind w:right="856"/>
        <w:rPr>
          <w:b w:val="1"/>
          <w:i w:val="1"/>
          <w:u w:val="single"/>
        </w:rPr>
      </w:pPr>
      <w:r w:rsidDel="00000000" w:rsidR="00000000" w:rsidRPr="00000000">
        <w:rPr>
          <w:rFonts w:ascii="Calibri" w:cs="Calibri" w:eastAsia="Calibri" w:hAnsi="Calibri"/>
          <w:i w:val="1"/>
          <w:rtl w:val="0"/>
        </w:rPr>
        <w:t xml:space="preserve">“在统计学上，相关性衡量的是两个随机变量之间线性关系的强度，其数值范围在-1至1之间。”</w:t>
      </w:r>
      <w:r w:rsidDel="00000000" w:rsidR="00000000" w:rsidRPr="00000000">
        <w:rPr>
          <w:rtl w:val="0"/>
        </w:rPr>
      </w:r>
    </w:p>
    <w:p w:rsidR="00000000" w:rsidDel="00000000" w:rsidP="00000000" w:rsidRDefault="00000000" w:rsidRPr="00000000" w14:paraId="0000002A">
      <w:pPr>
        <w:spacing w:line="276" w:lineRule="auto"/>
        <w:jc w:val="right"/>
        <w:rPr>
          <w:rFonts w:ascii="Calibri" w:cs="Calibri" w:eastAsia="Calibri" w:hAnsi="Calibri"/>
          <w:b w:val="1"/>
          <w:i w:val="1"/>
        </w:rPr>
      </w:pPr>
      <w:r w:rsidDel="00000000" w:rsidR="00000000" w:rsidRPr="00000000">
        <w:rPr>
          <w:rFonts w:ascii="Calibri" w:cs="Calibri" w:eastAsia="Calibri" w:hAnsi="Calibri"/>
          <w:b w:val="1"/>
          <w:i w:val="1"/>
          <w:u w:val="single"/>
          <w:rtl w:val="0"/>
        </w:rPr>
        <w:t xml:space="preserve">来源：Investopedia</w:t>
      </w:r>
      <w:r w:rsidDel="00000000" w:rsidR="00000000" w:rsidRPr="00000000">
        <w:rPr>
          <w:rtl w:val="0"/>
        </w:rPr>
      </w:r>
    </w:p>
    <w:p w:rsidR="00000000" w:rsidDel="00000000" w:rsidP="00000000" w:rsidRDefault="00000000" w:rsidRPr="00000000" w14:paraId="0000002B">
      <w:pPr>
        <w:spacing w:line="276" w:lineRule="auto"/>
        <w:ind w:right="1060" w:firstLine="720"/>
        <w:jc w:val="right"/>
        <w:rPr/>
      </w:pPr>
      <w:r w:rsidDel="00000000" w:rsidR="00000000" w:rsidRPr="00000000">
        <w:fldChar w:fldCharType="begin"/>
        <w:instrText xml:space="preserve"> HYPERLINK "https://www.investopedia.com/terms/c/correlationcoefficient.asp" </w:instrText>
        <w:fldChar w:fldCharType="separate"/>
      </w:r>
      <w:r w:rsidDel="00000000" w:rsidR="00000000" w:rsidRPr="00000000">
        <w:rPr>
          <w:rtl w:val="0"/>
        </w:rPr>
      </w:r>
    </w:p>
    <w:p w:rsidR="00000000" w:rsidDel="00000000" w:rsidP="00000000" w:rsidRDefault="00000000" w:rsidRPr="00000000" w14:paraId="0000002C">
      <w:pPr>
        <w:spacing w:line="276" w:lineRule="auto"/>
        <w:rPr>
          <w:rFonts w:ascii="Calibri" w:cs="Calibri" w:eastAsia="Calibri" w:hAnsi="Calibri"/>
        </w:rPr>
      </w:pPr>
      <w:r w:rsidDel="00000000" w:rsidR="00000000" w:rsidRPr="00000000">
        <w:fldChar w:fldCharType="end"/>
      </w:r>
      <w:r w:rsidDel="00000000" w:rsidR="00000000" w:rsidRPr="00000000">
        <w:rPr>
          <w:rtl w:val="0"/>
        </w:rPr>
      </w:r>
    </w:p>
    <w:p w:rsidR="00000000" w:rsidDel="00000000" w:rsidP="00000000" w:rsidRDefault="00000000" w:rsidRPr="00000000" w14:paraId="0000002D">
      <w:pPr>
        <w:spacing w:line="276" w:lineRule="auto"/>
        <w:rPr>
          <w:rFonts w:ascii="Calibri" w:cs="Calibri" w:eastAsia="Calibri" w:hAnsi="Calibri"/>
        </w:rPr>
      </w:pPr>
      <w:r w:rsidDel="00000000" w:rsidR="00000000" w:rsidRPr="00000000">
        <w:rPr>
          <w:rFonts w:ascii="Calibri" w:cs="Calibri" w:eastAsia="Calibri" w:hAnsi="Calibri"/>
          <w:rtl w:val="0"/>
        </w:rPr>
        <w:t xml:space="preserve">总体来说，相关系数高于</w:t>
      </w:r>
      <w:r w:rsidDel="00000000" w:rsidR="00000000" w:rsidRPr="00000000">
        <w:rPr>
          <w:rFonts w:ascii="Calibri" w:cs="Calibri" w:eastAsia="Calibri" w:hAnsi="Calibri"/>
          <w:rtl w:val="0"/>
        </w:rPr>
        <w:t xml:space="preserve">0.5或低于-0.5</w:t>
      </w:r>
      <w:r w:rsidDel="00000000" w:rsidR="00000000" w:rsidRPr="00000000">
        <w:rPr>
          <w:rFonts w:ascii="Calibri" w:cs="Calibri" w:eastAsia="Calibri" w:hAnsi="Calibri"/>
          <w:rtl w:val="0"/>
        </w:rPr>
        <w:t xml:space="preserve">的资产被认为存在强烈的正/负相关性。相反，相关系数接近于</w:t>
      </w:r>
      <w:r w:rsidDel="00000000" w:rsidR="00000000" w:rsidRPr="00000000">
        <w:rPr>
          <w:rFonts w:ascii="Calibri" w:cs="Calibri" w:eastAsia="Calibri" w:hAnsi="Calibri"/>
          <w:rtl w:val="0"/>
        </w:rPr>
        <w:t xml:space="preserve">0</w:t>
      </w:r>
      <w:r w:rsidDel="00000000" w:rsidR="00000000" w:rsidRPr="00000000">
        <w:rPr>
          <w:rFonts w:ascii="Calibri" w:cs="Calibri" w:eastAsia="Calibri" w:hAnsi="Calibri"/>
          <w:rtl w:val="0"/>
        </w:rPr>
        <w:t xml:space="preserve">则表明两个变量之间缺乏线性关系，在本次分析中，这两个变量指的是两种资产的收益率。</w:t>
      </w:r>
    </w:p>
    <w:p w:rsidR="00000000" w:rsidDel="00000000" w:rsidP="00000000" w:rsidRDefault="00000000" w:rsidRPr="00000000" w14:paraId="0000002E">
      <w:pPr>
        <w:shd w:fill="ffffff" w:val="clear"/>
        <w:spacing w:line="276" w:lineRule="auto"/>
        <w:rPr/>
      </w:pPr>
      <w:r w:rsidDel="00000000" w:rsidR="00000000" w:rsidRPr="00000000">
        <w:rPr>
          <w:rtl w:val="0"/>
        </w:rPr>
      </w:r>
    </w:p>
    <w:p w:rsidR="00000000" w:rsidDel="00000000" w:rsidP="00000000" w:rsidRDefault="00000000" w:rsidRPr="00000000" w14:paraId="0000002F">
      <w:pPr>
        <w:spacing w:line="276" w:lineRule="auto"/>
        <w:rPr>
          <w:rFonts w:ascii="Calibri" w:cs="Calibri" w:eastAsia="Calibri" w:hAnsi="Calibri"/>
        </w:rPr>
      </w:pPr>
      <w:r w:rsidDel="00000000" w:rsidR="00000000" w:rsidRPr="00000000">
        <w:rPr>
          <w:rFonts w:ascii="Calibri" w:cs="Calibri" w:eastAsia="Calibri" w:hAnsi="Calibri"/>
          <w:rtl w:val="0"/>
        </w:rPr>
        <w:t xml:space="preserve">如果两种资产的收益率呈现正相关性，表明这两种资产的波动倾向于方向一致，因此面临类似的风险。而如果两种资产的收益率呈现负相关性，则表明这两种资产的波动方向相反，因此可以用其中一种资产来对冲另一种资产的风险。</w:t>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t xml:space="preserve">在本报告中，我选取了</w:t>
      </w:r>
      <w:r w:rsidDel="00000000" w:rsidR="00000000" w:rsidRPr="00000000">
        <w:rPr>
          <w:rtl w:val="0"/>
        </w:rPr>
        <w:t xml:space="preserve">30个</w:t>
      </w:r>
      <w:r w:rsidDel="00000000" w:rsidR="00000000" w:rsidRPr="00000000">
        <w:rPr>
          <w:rtl w:val="0"/>
        </w:rPr>
        <w:t xml:space="preserve">加密资产作为样本，主要依据</w:t>
      </w:r>
      <w:r w:rsidDel="00000000" w:rsidR="00000000" w:rsidRPr="00000000">
        <w:rPr>
          <w:rtl w:val="0"/>
        </w:rPr>
        <w:t xml:space="preserve">2019年1-6月平均市值排名</w:t>
      </w:r>
      <w:r w:rsidDel="00000000" w:rsidR="00000000" w:rsidRPr="00000000">
        <w:rPr>
          <w:rtl w:val="0"/>
        </w:rPr>
        <w:t xml:space="preserve">。</w:t>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276" w:lineRule="auto"/>
        <w:rPr>
          <w:b w:val="1"/>
        </w:rPr>
      </w:pPr>
      <w:r w:rsidDel="00000000" w:rsidR="00000000" w:rsidRPr="00000000">
        <w:rPr>
          <w:rtl w:val="0"/>
        </w:rPr>
        <w:t xml:space="preserve">在下节中，我们对2019年第二季度的相关性进行了探讨，同时从数据集中得出观察结论。</w:t>
      </w:r>
      <w:r w:rsidDel="00000000" w:rsidR="00000000" w:rsidRPr="00000000">
        <w:br w:type="page"/>
      </w:r>
      <w:r w:rsidDel="00000000" w:rsidR="00000000" w:rsidRPr="00000000">
        <w:rPr>
          <w:rtl w:val="0"/>
        </w:rPr>
      </w:r>
    </w:p>
    <w:p w:rsidR="00000000" w:rsidDel="00000000" w:rsidP="00000000" w:rsidRDefault="00000000" w:rsidRPr="00000000" w14:paraId="00000034">
      <w:pPr>
        <w:spacing w:line="276" w:lineRule="auto"/>
        <w:rPr>
          <w:b w:val="1"/>
        </w:rPr>
      </w:pPr>
      <w:r w:rsidDel="00000000" w:rsidR="00000000" w:rsidRPr="00000000">
        <w:rPr>
          <w:b w:val="1"/>
          <w:rtl w:val="0"/>
        </w:rPr>
        <w:t xml:space="preserve">图3-主要大市值资产2019年第二季度日收益率相关矩阵（以美元计价）</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jc w:val="right"/>
        <w:rPr/>
      </w:pPr>
      <w:r w:rsidDel="00000000" w:rsidR="00000000" w:rsidRPr="00000000">
        <w:rPr/>
        <w:drawing>
          <wp:inline distB="114300" distT="114300" distL="114300" distR="114300">
            <wp:extent cx="5943600" cy="4330700"/>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jc w:val="right"/>
        <w:rPr>
          <w:i w:val="1"/>
          <w:sz w:val="20"/>
          <w:szCs w:val="20"/>
        </w:rPr>
      </w:pPr>
      <w:r w:rsidDel="00000000" w:rsidR="00000000" w:rsidRPr="00000000">
        <w:rPr>
          <w:i w:val="1"/>
          <w:sz w:val="20"/>
          <w:szCs w:val="20"/>
          <w:rtl w:val="0"/>
        </w:rPr>
        <w:t xml:space="preserve">Sources: Binance Research, CoinMarketCap</w:t>
      </w:r>
    </w:p>
    <w:p w:rsidR="00000000" w:rsidDel="00000000" w:rsidP="00000000" w:rsidRDefault="00000000" w:rsidRPr="00000000" w14:paraId="00000038">
      <w:pPr>
        <w:spacing w:line="276" w:lineRule="auto"/>
        <w:rPr>
          <w:i w:val="1"/>
          <w:sz w:val="20"/>
          <w:szCs w:val="20"/>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上述市值排名靠前的数字资产之间整体相关性仍然</w:t>
      </w:r>
      <w:r w:rsidDel="00000000" w:rsidR="00000000" w:rsidRPr="00000000">
        <w:rPr>
          <w:b w:val="1"/>
          <w:rtl w:val="0"/>
        </w:rPr>
        <w:t xml:space="preserve">较高</w:t>
      </w:r>
      <w:r w:rsidDel="00000000" w:rsidR="00000000" w:rsidRPr="00000000">
        <w:rPr>
          <w:rtl w:val="0"/>
        </w:rPr>
        <w:t xml:space="preserve">，其中大部分资产与其他加密资产之间的相关性在</w:t>
      </w:r>
      <w:r w:rsidDel="00000000" w:rsidR="00000000" w:rsidRPr="00000000">
        <w:rPr>
          <w:rtl w:val="0"/>
        </w:rPr>
        <w:t xml:space="preserve">0.5以上</w:t>
      </w:r>
      <w:r w:rsidDel="00000000" w:rsidR="00000000" w:rsidRPr="00000000">
        <w:rPr>
          <w:rtl w:val="0"/>
        </w:rPr>
        <w:t xml:space="preserve">。</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t xml:space="preserve">此外，没有任何一对加密资产之间存在负相关性，这表明特异因子对个体加密货币业绩的影响仍然相对轻微，个体加密资产价格受总体市场变化的影响仍然较大（如我们前份报告所述</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t xml:space="preserve">然而，对若干特异因子和事件的分析表明，它们可能对</w:t>
      </w:r>
      <w:r w:rsidDel="00000000" w:rsidR="00000000" w:rsidRPr="00000000">
        <w:rPr>
          <w:rtl w:val="0"/>
        </w:rPr>
        <w:t xml:space="preserve">2019年第二季度</w:t>
      </w:r>
      <w:r w:rsidDel="00000000" w:rsidR="00000000" w:rsidRPr="00000000">
        <w:rPr>
          <w:rtl w:val="0"/>
        </w:rPr>
        <w:t xml:space="preserve">特定加密资产的相关性产生了影响。</w:t>
      </w:r>
    </w:p>
    <w:p w:rsidR="00000000" w:rsidDel="00000000" w:rsidP="00000000" w:rsidRDefault="00000000" w:rsidRPr="00000000" w14:paraId="0000003E">
      <w:pPr>
        <w:spacing w:line="276" w:lineRule="auto"/>
        <w:ind w:left="720" w:firstLine="0"/>
        <w:rPr/>
      </w:pPr>
      <w:r w:rsidDel="00000000" w:rsidR="00000000" w:rsidRPr="00000000">
        <w:rPr>
          <w:rtl w:val="0"/>
        </w:rPr>
      </w:r>
    </w:p>
    <w:p w:rsidR="00000000" w:rsidDel="00000000" w:rsidP="00000000" w:rsidRDefault="00000000" w:rsidRPr="00000000" w14:paraId="0000003F">
      <w:pPr>
        <w:numPr>
          <w:ilvl w:val="0"/>
          <w:numId w:val="1"/>
        </w:numPr>
        <w:spacing w:line="276" w:lineRule="auto"/>
        <w:ind w:left="720" w:hanging="360"/>
        <w:rPr/>
      </w:pPr>
      <w:r w:rsidDel="00000000" w:rsidR="00000000" w:rsidRPr="00000000">
        <w:rPr>
          <w:b w:val="1"/>
          <w:rtl w:val="0"/>
        </w:rPr>
        <w:t xml:space="preserve">Chainlink (LINK)</w:t>
      </w:r>
      <w:r w:rsidDel="00000000" w:rsidR="00000000" w:rsidRPr="00000000">
        <w:rPr>
          <w:rtl w:val="0"/>
        </w:rPr>
        <w:t xml:space="preserve">: 6月份，该公司宣称</w:t>
      </w:r>
      <w:r w:rsidDel="00000000" w:rsidR="00000000" w:rsidRPr="00000000">
        <w:rPr>
          <w:vertAlign w:val="superscript"/>
        </w:rPr>
        <w:footnoteReference w:customMarkFollows="0" w:id="1"/>
      </w:r>
      <w:r w:rsidDel="00000000" w:rsidR="00000000" w:rsidRPr="00000000">
        <w:rPr>
          <w:rtl w:val="0"/>
        </w:rPr>
        <w:t xml:space="preserve">，谷歌将为智能合约功能而整合Chainlink。在Binance Launchpad上成功完成代币发售的Matic Network也宣布与Chainlink建立伙伴关系</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40">
      <w:pPr>
        <w:numPr>
          <w:ilvl w:val="0"/>
          <w:numId w:val="1"/>
        </w:numPr>
        <w:spacing w:line="276" w:lineRule="auto"/>
        <w:ind w:left="720" w:hanging="360"/>
        <w:rPr/>
      </w:pPr>
      <w:r w:rsidDel="00000000" w:rsidR="00000000" w:rsidRPr="00000000">
        <w:rPr>
          <w:b w:val="1"/>
          <w:rtl w:val="0"/>
        </w:rPr>
        <w:t xml:space="preserve">Bitcoin SV (BSV): </w:t>
      </w:r>
      <w:r w:rsidDel="00000000" w:rsidR="00000000" w:rsidRPr="00000000">
        <w:rPr>
          <w:rtl w:val="0"/>
        </w:rPr>
        <w:t xml:space="preserve">大量的谣言</w:t>
      </w:r>
      <w:r w:rsidDel="00000000" w:rsidR="00000000" w:rsidRPr="00000000">
        <w:rPr>
          <w:vertAlign w:val="superscript"/>
        </w:rPr>
        <w:footnoteReference w:customMarkFollows="0" w:id="3"/>
      </w:r>
      <w:r w:rsidDel="00000000" w:rsidR="00000000" w:rsidRPr="00000000">
        <w:rPr>
          <w:rtl w:val="0"/>
        </w:rPr>
        <w:t xml:space="preserve">伴随其下架大型交易平台（币安和Kraken交易平台下架了BCHSV/BSV</w:t>
      </w:r>
      <w:r w:rsidDel="00000000" w:rsidR="00000000" w:rsidRPr="00000000">
        <w:rPr>
          <w:vertAlign w:val="superscript"/>
        </w:rPr>
        <w:footnoteReference w:customMarkFollows="0" w:id="4"/>
      </w:r>
      <w:r w:rsidDel="00000000" w:rsidR="00000000" w:rsidRPr="00000000">
        <w:rPr>
          <w:rtl w:val="0"/>
        </w:rPr>
        <w:t xml:space="preserve">）被传得沸沸扬扬，这导致其出现独立于整个市场其他项目的异常价格波动。</w:t>
      </w:r>
    </w:p>
    <w:p w:rsidR="00000000" w:rsidDel="00000000" w:rsidP="00000000" w:rsidRDefault="00000000" w:rsidRPr="00000000" w14:paraId="00000041">
      <w:pPr>
        <w:numPr>
          <w:ilvl w:val="0"/>
          <w:numId w:val="1"/>
        </w:numPr>
        <w:spacing w:line="276" w:lineRule="auto"/>
        <w:ind w:left="720" w:hanging="360"/>
        <w:rPr/>
      </w:pPr>
      <w:r w:rsidDel="00000000" w:rsidR="00000000" w:rsidRPr="00000000">
        <w:rPr>
          <w:b w:val="1"/>
          <w:rtl w:val="0"/>
        </w:rPr>
        <w:t xml:space="preserve">币安币(BNB): </w:t>
      </w:r>
      <w:r w:rsidDel="00000000" w:rsidR="00000000" w:rsidRPr="00000000">
        <w:rPr>
          <w:rtl w:val="0"/>
        </w:rPr>
        <w:t xml:space="preserve">BNB从以太坊上最大的</w:t>
      </w:r>
      <w:r w:rsidDel="00000000" w:rsidR="00000000" w:rsidRPr="00000000">
        <w:rPr>
          <w:rtl w:val="0"/>
        </w:rPr>
        <w:t xml:space="preserve">ERC20</w:t>
      </w:r>
      <w:r w:rsidDel="00000000" w:rsidR="00000000" w:rsidRPr="00000000">
        <w:rPr>
          <w:rtl w:val="0"/>
        </w:rPr>
        <w:t xml:space="preserve">代币变为</w:t>
      </w:r>
      <w:r w:rsidDel="00000000" w:rsidR="00000000" w:rsidRPr="00000000">
        <w:rPr>
          <w:u w:val="single"/>
          <w:rtl w:val="0"/>
        </w:rPr>
        <w:t xml:space="preserve">币安链原生代币</w:t>
      </w:r>
      <w:r w:rsidDel="00000000" w:rsidR="00000000" w:rsidRPr="00000000">
        <w:rPr>
          <w:rtl w:val="0"/>
        </w:rPr>
        <w:t xml:space="preserve">，在2019年第一、二季度价格持续上涨。其他与币安相关的新闻和事件也促使市场提高了对币安币的兴趣，例如在中心化交易平台上发布的现货杠杆交易等新功能（如：OCO订单）以及全球各地新的法币交易平台的发展（例如：币安新加坡交易平台）</w:t>
      </w:r>
    </w:p>
    <w:p w:rsidR="00000000" w:rsidDel="00000000" w:rsidP="00000000" w:rsidRDefault="00000000" w:rsidRPr="00000000" w14:paraId="00000042">
      <w:pPr>
        <w:spacing w:line="276" w:lineRule="auto"/>
        <w:rPr>
          <w:b w:val="1"/>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除具体与项目相关的催化剂之外，</w:t>
      </w:r>
      <w:r w:rsidDel="00000000" w:rsidR="00000000" w:rsidRPr="00000000">
        <w:rPr>
          <w:u w:val="single"/>
          <w:rtl w:val="0"/>
        </w:rPr>
        <w:t xml:space="preserve">我们在2019年3月份的报告</w:t>
      </w:r>
      <w:r w:rsidDel="00000000" w:rsidR="00000000" w:rsidRPr="00000000">
        <w:rPr>
          <w:rtl w:val="0"/>
        </w:rPr>
        <w:t xml:space="preserve">中也将“共识机制设计”和“交易所上币”作为影响特定加密资产相关性的关键因素。在对这些催化剂进行回顾的过程中，我们观察到2019年第二季度出现了一些类似的效应。</w:t>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numPr>
          <w:ilvl w:val="0"/>
          <w:numId w:val="4"/>
        </w:numPr>
        <w:spacing w:line="276" w:lineRule="auto"/>
        <w:ind w:left="720" w:hanging="360"/>
        <w:rPr>
          <w:b w:val="1"/>
        </w:rPr>
      </w:pPr>
      <w:r w:rsidDel="00000000" w:rsidR="00000000" w:rsidRPr="00000000">
        <w:rPr>
          <w:b w:val="1"/>
          <w:rtl w:val="0"/>
        </w:rPr>
        <w:t xml:space="preserve">“币安效应”：</w:t>
      </w:r>
      <w:r w:rsidDel="00000000" w:rsidR="00000000" w:rsidRPr="00000000">
        <w:rPr>
          <w:rtl w:val="0"/>
        </w:rPr>
        <w:t xml:space="preserve"> 与数据集包含的其他加密资产相比，Tezos (XTZ), Doge (DOGE) 和Bitcoin SV (BSV)都展现出与其他加密资产之间的较低相关性。有趣的是，Bitcoin SV从币安下架，导致其在</w:t>
      </w:r>
      <w:r w:rsidDel="00000000" w:rsidR="00000000" w:rsidRPr="00000000">
        <w:rPr>
          <w:rtl w:val="0"/>
        </w:rPr>
        <w:t xml:space="preserve">2019年第一季度和第二季度</w:t>
      </w:r>
      <w:r w:rsidDel="00000000" w:rsidR="00000000" w:rsidRPr="00000000">
        <w:rPr>
          <w:rtl w:val="0"/>
        </w:rPr>
        <w:t xml:space="preserve">与其他加密资产之间的相关性非常低</w:t>
      </w:r>
      <w:r w:rsidDel="00000000" w:rsidR="00000000" w:rsidRPr="00000000">
        <w:rPr>
          <w:vertAlign w:val="superscript"/>
        </w:rPr>
        <w:footnoteReference w:customMarkFollows="0" w:id="5"/>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6">
      <w:pPr>
        <w:numPr>
          <w:ilvl w:val="0"/>
          <w:numId w:val="4"/>
        </w:numPr>
        <w:spacing w:line="276" w:lineRule="auto"/>
        <w:ind w:left="720" w:hanging="360"/>
        <w:rPr/>
      </w:pPr>
      <w:r w:rsidDel="00000000" w:rsidR="00000000" w:rsidRPr="00000000">
        <w:rPr>
          <w:b w:val="1"/>
          <w:rtl w:val="0"/>
        </w:rPr>
        <w:t xml:space="preserve">共识机制：</w:t>
      </w:r>
      <w:r w:rsidDel="00000000" w:rsidR="00000000" w:rsidRPr="00000000">
        <w:rPr>
          <w:rtl w:val="0"/>
        </w:rPr>
        <w:t xml:space="preserve">与我们之前的第一季度报告相比，共识机制设计似乎仍会影响资产之间的相关性。具体来说，</w:t>
      </w:r>
      <w:r w:rsidDel="00000000" w:rsidR="00000000" w:rsidRPr="00000000">
        <w:rPr>
          <w:rtl w:val="0"/>
        </w:rPr>
        <w:t xml:space="preserve">2019年第二季度</w:t>
      </w:r>
      <w:r w:rsidDel="00000000" w:rsidR="00000000" w:rsidRPr="00000000">
        <w:rPr>
          <w:rtl w:val="0"/>
        </w:rPr>
        <w:t xml:space="preserve">，平均来看，采用工作量证明机制的资产相互之间的相关性要高于其与采用非工作量证明机制资产之间的相关性。</w:t>
      </w:r>
    </w:p>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rtl w:val="0"/>
        </w:rPr>
        <w:t xml:space="preserve">有趣的是，从数据集中，我们还观察到了影响相关性的其他特异因子（</w:t>
      </w:r>
      <w:r w:rsidDel="00000000" w:rsidR="00000000" w:rsidRPr="00000000">
        <w:rPr>
          <w:rtl w:val="0"/>
        </w:rPr>
        <w:t xml:space="preserve">见图3</w:t>
      </w:r>
      <w:r w:rsidDel="00000000" w:rsidR="00000000" w:rsidRPr="00000000">
        <w:rPr>
          <w:rtl w:val="0"/>
        </w:rPr>
        <w:t xml:space="preserve">）：</w:t>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numPr>
          <w:ilvl w:val="0"/>
          <w:numId w:val="6"/>
        </w:numPr>
        <w:spacing w:line="276" w:lineRule="auto"/>
        <w:ind w:left="720" w:hanging="360"/>
        <w:rPr/>
      </w:pPr>
      <w:r w:rsidDel="00000000" w:rsidR="00000000" w:rsidRPr="00000000">
        <w:rPr>
          <w:b w:val="1"/>
          <w:rtl w:val="0"/>
        </w:rPr>
        <w:t xml:space="preserve">隐私因子：</w:t>
      </w:r>
      <w:bookmarkStart w:colFirst="0" w:colLast="0" w:name="kix.ogg5tscpw8kl" w:id="2"/>
      <w:bookmarkEnd w:id="2"/>
      <w:r w:rsidDel="00000000" w:rsidR="00000000" w:rsidRPr="00000000">
        <w:rPr>
          <w:rtl w:val="0"/>
        </w:rPr>
        <w:t xml:space="preserve">达世币(DASH)和门罗币(XMR)之间的</w:t>
      </w:r>
      <w:r w:rsidDel="00000000" w:rsidR="00000000" w:rsidRPr="00000000">
        <w:rPr>
          <w:b w:val="1"/>
          <w:rtl w:val="0"/>
        </w:rPr>
        <w:t xml:space="preserve">相关性极高(</w:t>
      </w:r>
      <w:r w:rsidDel="00000000" w:rsidR="00000000" w:rsidRPr="00000000">
        <w:rPr>
          <w:b w:val="1"/>
          <w:rtl w:val="0"/>
        </w:rPr>
        <w:t xml:space="preserve">0.85</w:t>
      </w:r>
      <w:r w:rsidDel="00000000" w:rsidR="00000000" w:rsidRPr="00000000">
        <w:rPr>
          <w:b w:val="1"/>
          <w:rtl w:val="0"/>
        </w:rPr>
        <w:t xml:space="preserve">)，</w:t>
      </w:r>
      <w:r w:rsidDel="00000000" w:rsidR="00000000" w:rsidRPr="00000000">
        <w:rPr>
          <w:rtl w:val="0"/>
        </w:rPr>
        <w:t xml:space="preserve">鉴于两者都专注于保护隐私，这一趋势似乎一目了然。如果莱特币(LTC)未来</w:t>
      </w:r>
      <w:r w:rsidDel="00000000" w:rsidR="00000000" w:rsidRPr="00000000">
        <w:rPr>
          <w:vertAlign w:val="superscript"/>
          <w:rtl w:val="0"/>
        </w:rPr>
        <w:t xml:space="preserve">8</w:t>
      </w:r>
      <w:r w:rsidDel="00000000" w:rsidR="00000000" w:rsidRPr="00000000">
        <w:rPr>
          <w:rtl w:val="0"/>
        </w:rPr>
        <w:t xml:space="preserve">实施MimbleWimble，那么密切监测莱特币与上述两种加密货币的后续相关性将会非常有趣。</w:t>
      </w:r>
    </w:p>
    <w:p w:rsidR="00000000" w:rsidDel="00000000" w:rsidP="00000000" w:rsidRDefault="00000000" w:rsidRPr="00000000" w14:paraId="0000004B">
      <w:pPr>
        <w:spacing w:line="276" w:lineRule="auto"/>
        <w:rPr>
          <w:b w:val="1"/>
        </w:rPr>
      </w:pPr>
      <w:r w:rsidDel="00000000" w:rsidR="00000000" w:rsidRPr="00000000">
        <w:rPr>
          <w:rtl w:val="0"/>
        </w:rPr>
      </w:r>
    </w:p>
    <w:p w:rsidR="00000000" w:rsidDel="00000000" w:rsidP="00000000" w:rsidRDefault="00000000" w:rsidRPr="00000000" w14:paraId="0000004C">
      <w:pPr>
        <w:numPr>
          <w:ilvl w:val="0"/>
          <w:numId w:val="6"/>
        </w:numPr>
        <w:spacing w:line="276" w:lineRule="auto"/>
        <w:ind w:left="720" w:hanging="360"/>
        <w:rPr/>
      </w:pPr>
      <w:r w:rsidDel="00000000" w:rsidR="00000000" w:rsidRPr="00000000">
        <w:rPr>
          <w:b w:val="1"/>
          <w:rtl w:val="0"/>
        </w:rPr>
        <w:t xml:space="preserve">功能相似：</w:t>
      </w:r>
      <w:r w:rsidDel="00000000" w:rsidR="00000000" w:rsidRPr="00000000">
        <w:rPr>
          <w:rtl w:val="0"/>
        </w:rPr>
        <w:t xml:space="preserve">瑞波币和恒星币 (XLM)之间展现出极高的相关性（</w:t>
      </w:r>
      <w:r w:rsidDel="00000000" w:rsidR="00000000" w:rsidRPr="00000000">
        <w:rPr>
          <w:b w:val="1"/>
          <w:rtl w:val="0"/>
        </w:rPr>
        <w:t xml:space="preserve">0.87</w:t>
      </w:r>
      <w:r w:rsidDel="00000000" w:rsidR="00000000" w:rsidRPr="00000000">
        <w:rPr>
          <w:rtl w:val="0"/>
        </w:rPr>
        <w:t xml:space="preserve">）。尽管恒星币最初是基于瑞波协议创建的，但其代码很快进行了分叉和修改。然而这两种加密资产仍具有若干相似之处，因为它们都致力于“重塑全球汇款行业”。</w:t>
      </w:r>
    </w:p>
    <w:p w:rsidR="00000000" w:rsidDel="00000000" w:rsidP="00000000" w:rsidRDefault="00000000" w:rsidRPr="00000000" w14:paraId="0000004D">
      <w:pPr>
        <w:spacing w:line="276" w:lineRule="auto"/>
        <w:rPr>
          <w:i w:val="1"/>
          <w:sz w:val="20"/>
          <w:szCs w:val="20"/>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tl w:val="0"/>
        </w:rPr>
        <w:t xml:space="preserve">在接下来的小节里，我们会将这些结果与2019年第一季度的结果进行对比。</w:t>
      </w:r>
    </w:p>
    <w:p w:rsidR="00000000" w:rsidDel="00000000" w:rsidP="00000000" w:rsidRDefault="00000000" w:rsidRPr="00000000" w14:paraId="00000050">
      <w:pPr>
        <w:spacing w:line="276" w:lineRule="auto"/>
        <w:rPr>
          <w:sz w:val="40"/>
          <w:szCs w:val="40"/>
        </w:rPr>
      </w:pPr>
      <w:r w:rsidDel="00000000" w:rsidR="00000000" w:rsidRPr="00000000">
        <w:rPr>
          <w:rtl w:val="0"/>
        </w:rPr>
      </w:r>
    </w:p>
    <w:p w:rsidR="00000000" w:rsidDel="00000000" w:rsidP="00000000" w:rsidRDefault="00000000" w:rsidRPr="00000000" w14:paraId="00000051">
      <w:pPr>
        <w:spacing w:line="276" w:lineRule="auto"/>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276" w:lineRule="auto"/>
        <w:rPr>
          <w:sz w:val="40"/>
          <w:szCs w:val="40"/>
        </w:rPr>
      </w:pPr>
      <w:r w:rsidDel="00000000" w:rsidR="00000000" w:rsidRPr="00000000">
        <w:rPr>
          <w:sz w:val="40"/>
          <w:szCs w:val="40"/>
          <w:rtl w:val="0"/>
        </w:rPr>
        <w:t xml:space="preserve">3. 季度横向对比</w:t>
      </w:r>
    </w:p>
    <w:p w:rsidR="00000000" w:rsidDel="00000000" w:rsidP="00000000" w:rsidRDefault="00000000" w:rsidRPr="00000000" w14:paraId="00000053">
      <w:pPr>
        <w:spacing w:line="276" w:lineRule="auto"/>
        <w:rPr>
          <w:b w:val="1"/>
        </w:rPr>
      </w:pPr>
      <w:r w:rsidDel="00000000" w:rsidR="00000000" w:rsidRPr="00000000">
        <w:rPr>
          <w:rtl w:val="0"/>
        </w:rPr>
      </w:r>
    </w:p>
    <w:p w:rsidR="00000000" w:rsidDel="00000000" w:rsidP="00000000" w:rsidRDefault="00000000" w:rsidRPr="00000000" w14:paraId="00000054">
      <w:pPr>
        <w:spacing w:line="276" w:lineRule="auto"/>
        <w:rPr>
          <w:b w:val="1"/>
        </w:rPr>
      </w:pPr>
      <w:r w:rsidDel="00000000" w:rsidR="00000000" w:rsidRPr="00000000">
        <w:rPr>
          <w:b w:val="1"/>
          <w:rtl w:val="0"/>
        </w:rPr>
        <w:t xml:space="preserve">图4-大市值资产2019年第一季度日收益率相关矩阵（以美元计价）</w:t>
      </w:r>
    </w:p>
    <w:p w:rsidR="00000000" w:rsidDel="00000000" w:rsidP="00000000" w:rsidRDefault="00000000" w:rsidRPr="00000000" w14:paraId="00000055">
      <w:pPr>
        <w:spacing w:line="276" w:lineRule="auto"/>
        <w:jc w:val="right"/>
        <w:rPr>
          <w:i w:val="1"/>
          <w:sz w:val="20"/>
          <w:szCs w:val="20"/>
        </w:rPr>
      </w:pPr>
      <w:r w:rsidDel="00000000" w:rsidR="00000000" w:rsidRPr="00000000">
        <w:rPr/>
        <w:drawing>
          <wp:inline distB="114300" distT="114300" distL="114300" distR="114300">
            <wp:extent cx="5943600" cy="427990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jc w:val="right"/>
        <w:rPr/>
      </w:pPr>
      <w:r w:rsidDel="00000000" w:rsidR="00000000" w:rsidRPr="00000000">
        <w:rPr>
          <w:i w:val="1"/>
          <w:sz w:val="20"/>
          <w:szCs w:val="20"/>
          <w:rtl w:val="0"/>
        </w:rPr>
        <w:t xml:space="preserve">来源：币安研究院、CoinMarketCap</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t xml:space="preserve">大部分相关性都与我们</w:t>
      </w:r>
      <w:r w:rsidDel="00000000" w:rsidR="00000000" w:rsidRPr="00000000">
        <w:rPr>
          <w:u w:val="single"/>
          <w:rtl w:val="0"/>
        </w:rPr>
        <w:t xml:space="preserve">2019年3月份有关加密资产相关性的报告</w:t>
      </w:r>
      <w:r w:rsidDel="00000000" w:rsidR="00000000" w:rsidRPr="00000000">
        <w:rPr>
          <w:rtl w:val="0"/>
        </w:rPr>
        <w:t xml:space="preserve">所述相似</w:t>
      </w:r>
      <w:r w:rsidDel="00000000" w:rsidR="00000000" w:rsidRPr="00000000">
        <w:rPr>
          <w:vertAlign w:val="superscript"/>
        </w:rPr>
        <w:footnoteReference w:customMarkFollows="0" w:id="6"/>
      </w:r>
      <w:r w:rsidDel="00000000" w:rsidR="00000000" w:rsidRPr="00000000">
        <w:rPr>
          <w:rtl w:val="0"/>
        </w:rPr>
        <w:t xml:space="preserve">。但值得注意的是，第二季度比特币与所有其他主要加密资产之间的平均相关性从</w:t>
      </w:r>
      <w:r w:rsidDel="00000000" w:rsidR="00000000" w:rsidRPr="00000000">
        <w:rPr>
          <w:b w:val="1"/>
          <w:rtl w:val="0"/>
        </w:rPr>
        <w:t xml:space="preserve">0.73</w:t>
      </w:r>
      <w:r w:rsidDel="00000000" w:rsidR="00000000" w:rsidRPr="00000000">
        <w:rPr>
          <w:rtl w:val="0"/>
        </w:rPr>
        <w:t xml:space="preserve">下降到了</w:t>
      </w:r>
      <w:r w:rsidDel="00000000" w:rsidR="00000000" w:rsidRPr="00000000">
        <w:rPr>
          <w:b w:val="1"/>
          <w:rtl w:val="0"/>
        </w:rPr>
        <w:t xml:space="preserve">0.61</w:t>
      </w:r>
      <w:r w:rsidDel="00000000" w:rsidR="00000000" w:rsidRPr="00000000">
        <w:rPr>
          <w:rtl w:val="0"/>
        </w:rPr>
        <w:t xml:space="preserve">。</w:t>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另一方面，</w:t>
      </w:r>
      <w:r w:rsidDel="00000000" w:rsidR="00000000" w:rsidRPr="00000000">
        <w:rPr>
          <w:b w:val="1"/>
          <w:rtl w:val="0"/>
        </w:rPr>
        <w:t xml:space="preserve">第一季度和第二季度，</w:t>
      </w:r>
      <w:r w:rsidDel="00000000" w:rsidR="00000000" w:rsidRPr="00000000">
        <w:rPr>
          <w:rtl w:val="0"/>
        </w:rPr>
        <w:t xml:space="preserve">其它加密资产之间的平均相关性始终</w:t>
      </w:r>
      <w:r w:rsidDel="00000000" w:rsidR="00000000" w:rsidRPr="00000000">
        <w:rPr>
          <w:b w:val="1"/>
          <w:rtl w:val="0"/>
        </w:rPr>
        <w:t xml:space="preserve">稳定在0.57-0.58之间</w:t>
      </w:r>
      <w:r w:rsidDel="00000000" w:rsidR="00000000" w:rsidRPr="00000000">
        <w:rPr>
          <w:rtl w:val="0"/>
        </w:rPr>
        <w:t xml:space="preserve">。然而，这些加密资产各自的平均相关系数发生了变化，如下表所示：</w:t>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276" w:lineRule="auto"/>
        <w:rPr>
          <w:b w:val="1"/>
        </w:rPr>
      </w:pPr>
      <w:r w:rsidDel="00000000" w:rsidR="00000000" w:rsidRPr="00000000">
        <w:rPr>
          <w:b w:val="1"/>
          <w:rtl w:val="0"/>
        </w:rPr>
        <w:t xml:space="preserve">表1-第一季度到第二季度，平均相关性变化情况</w:t>
      </w:r>
    </w:p>
    <w:tbl>
      <w:tblPr>
        <w:tblStyle w:val="Table2"/>
        <w:tblW w:w="9408.0" w:type="dxa"/>
        <w:jc w:val="left"/>
        <w:tblInd w:w="-60.0" w:type="dxa"/>
        <w:tblLayout w:type="fixed"/>
        <w:tblLook w:val="0600"/>
      </w:tblPr>
      <w:tblGrid>
        <w:gridCol w:w="624"/>
        <w:gridCol w:w="624"/>
        <w:gridCol w:w="615"/>
        <w:gridCol w:w="735"/>
        <w:gridCol w:w="555"/>
        <w:gridCol w:w="615"/>
        <w:gridCol w:w="624"/>
        <w:gridCol w:w="624"/>
        <w:gridCol w:w="624"/>
        <w:gridCol w:w="660"/>
        <w:gridCol w:w="600"/>
        <w:gridCol w:w="615"/>
        <w:gridCol w:w="645"/>
        <w:gridCol w:w="624"/>
        <w:gridCol w:w="624"/>
        <w:tblGridChange w:id="0">
          <w:tblGrid>
            <w:gridCol w:w="624"/>
            <w:gridCol w:w="624"/>
            <w:gridCol w:w="615"/>
            <w:gridCol w:w="735"/>
            <w:gridCol w:w="555"/>
            <w:gridCol w:w="615"/>
            <w:gridCol w:w="624"/>
            <w:gridCol w:w="624"/>
            <w:gridCol w:w="624"/>
            <w:gridCol w:w="660"/>
            <w:gridCol w:w="600"/>
            <w:gridCol w:w="615"/>
            <w:gridCol w:w="645"/>
            <w:gridCol w:w="624"/>
            <w:gridCol w:w="624"/>
          </w:tblGrid>
        </w:tblGridChange>
      </w:tblGrid>
      <w:tr>
        <w:trPr>
          <w:trHeight w:val="300" w:hRule="atLeast"/>
        </w:trPr>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E">
            <w:pPr>
              <w:widowControl w:val="0"/>
              <w:spacing w:line="276" w:lineRule="auto"/>
              <w:jc w:val="center"/>
              <w:rPr>
                <w:b w:val="1"/>
                <w:sz w:val="16"/>
                <w:szCs w:val="16"/>
              </w:rPr>
            </w:pPr>
            <w:r w:rsidDel="00000000" w:rsidR="00000000" w:rsidRPr="00000000">
              <w:rPr>
                <w:b w:val="1"/>
                <w:sz w:val="16"/>
                <w:szCs w:val="16"/>
                <w:rtl w:val="0"/>
              </w:rPr>
              <w:t xml:space="preserve">XTZ</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center"/>
              <w:rPr>
                <w:b w:val="1"/>
                <w:sz w:val="16"/>
                <w:szCs w:val="16"/>
              </w:rPr>
            </w:pPr>
            <w:r w:rsidDel="00000000" w:rsidR="00000000" w:rsidRPr="00000000">
              <w:rPr>
                <w:b w:val="1"/>
                <w:sz w:val="16"/>
                <w:szCs w:val="16"/>
                <w:rtl w:val="0"/>
              </w:rPr>
              <w:t xml:space="preserve">ONT</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76" w:lineRule="auto"/>
              <w:jc w:val="center"/>
              <w:rPr>
                <w:b w:val="1"/>
                <w:sz w:val="16"/>
                <w:szCs w:val="16"/>
              </w:rPr>
            </w:pPr>
            <w:r w:rsidDel="00000000" w:rsidR="00000000" w:rsidRPr="00000000">
              <w:rPr>
                <w:b w:val="1"/>
                <w:sz w:val="16"/>
                <w:szCs w:val="16"/>
                <w:rtl w:val="0"/>
              </w:rPr>
              <w:t xml:space="preserve">TRX</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center"/>
              <w:rPr>
                <w:b w:val="1"/>
                <w:sz w:val="16"/>
                <w:szCs w:val="16"/>
              </w:rPr>
            </w:pPr>
            <w:r w:rsidDel="00000000" w:rsidR="00000000" w:rsidRPr="00000000">
              <w:rPr>
                <w:b w:val="1"/>
                <w:sz w:val="16"/>
                <w:szCs w:val="16"/>
                <w:rtl w:val="0"/>
              </w:rPr>
              <w:t xml:space="preserve">WAVES</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2">
            <w:pPr>
              <w:widowControl w:val="0"/>
              <w:spacing w:line="276" w:lineRule="auto"/>
              <w:jc w:val="center"/>
              <w:rPr>
                <w:b w:val="1"/>
                <w:sz w:val="16"/>
                <w:szCs w:val="16"/>
              </w:rPr>
            </w:pPr>
            <w:r w:rsidDel="00000000" w:rsidR="00000000" w:rsidRPr="00000000">
              <w:rPr>
                <w:b w:val="1"/>
                <w:sz w:val="16"/>
                <w:szCs w:val="16"/>
                <w:rtl w:val="0"/>
              </w:rPr>
              <w:t xml:space="preserve">XLM</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3">
            <w:pPr>
              <w:widowControl w:val="0"/>
              <w:spacing w:line="276" w:lineRule="auto"/>
              <w:jc w:val="center"/>
              <w:rPr>
                <w:sz w:val="16"/>
                <w:szCs w:val="16"/>
              </w:rPr>
            </w:pPr>
            <w:r w:rsidDel="00000000" w:rsidR="00000000" w:rsidRPr="00000000">
              <w:rPr>
                <w:sz w:val="16"/>
                <w:szCs w:val="16"/>
                <w:rtl w:val="0"/>
              </w:rPr>
              <w:t xml:space="preserve">MKR</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jc w:val="center"/>
              <w:rPr>
                <w:sz w:val="16"/>
                <w:szCs w:val="16"/>
              </w:rPr>
            </w:pPr>
            <w:r w:rsidDel="00000000" w:rsidR="00000000" w:rsidRPr="00000000">
              <w:rPr>
                <w:sz w:val="16"/>
                <w:szCs w:val="16"/>
                <w:rtl w:val="0"/>
              </w:rPr>
              <w:t xml:space="preserve">QTUM</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76" w:lineRule="auto"/>
              <w:jc w:val="center"/>
              <w:rPr>
                <w:sz w:val="16"/>
                <w:szCs w:val="16"/>
              </w:rPr>
            </w:pPr>
            <w:r w:rsidDel="00000000" w:rsidR="00000000" w:rsidRPr="00000000">
              <w:rPr>
                <w:sz w:val="16"/>
                <w:szCs w:val="16"/>
                <w:rtl w:val="0"/>
              </w:rPr>
              <w:t xml:space="preserve">OMG</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jc w:val="center"/>
              <w:rPr>
                <w:sz w:val="16"/>
                <w:szCs w:val="16"/>
              </w:rPr>
            </w:pPr>
            <w:r w:rsidDel="00000000" w:rsidR="00000000" w:rsidRPr="00000000">
              <w:rPr>
                <w:sz w:val="16"/>
                <w:szCs w:val="16"/>
                <w:rtl w:val="0"/>
              </w:rPr>
              <w:t xml:space="preserve">DASH</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76" w:lineRule="auto"/>
              <w:jc w:val="center"/>
              <w:rPr>
                <w:sz w:val="16"/>
                <w:szCs w:val="16"/>
              </w:rPr>
            </w:pPr>
            <w:r w:rsidDel="00000000" w:rsidR="00000000" w:rsidRPr="00000000">
              <w:rPr>
                <w:sz w:val="16"/>
                <w:szCs w:val="16"/>
                <w:rtl w:val="0"/>
              </w:rPr>
              <w:t xml:space="preserve">NEM</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276" w:lineRule="auto"/>
              <w:jc w:val="center"/>
              <w:rPr>
                <w:sz w:val="16"/>
                <w:szCs w:val="16"/>
              </w:rPr>
            </w:pPr>
            <w:r w:rsidDel="00000000" w:rsidR="00000000" w:rsidRPr="00000000">
              <w:rPr>
                <w:sz w:val="16"/>
                <w:szCs w:val="16"/>
                <w:rtl w:val="0"/>
              </w:rPr>
              <w:t xml:space="preserve">XRP</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276" w:lineRule="auto"/>
              <w:jc w:val="center"/>
              <w:rPr>
                <w:sz w:val="16"/>
                <w:szCs w:val="16"/>
              </w:rPr>
            </w:pPr>
            <w:r w:rsidDel="00000000" w:rsidR="00000000" w:rsidRPr="00000000">
              <w:rPr>
                <w:sz w:val="16"/>
                <w:szCs w:val="16"/>
                <w:rtl w:val="0"/>
              </w:rPr>
              <w:t xml:space="preserve">ADA</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A">
            <w:pPr>
              <w:widowControl w:val="0"/>
              <w:spacing w:line="276" w:lineRule="auto"/>
              <w:jc w:val="center"/>
              <w:rPr>
                <w:sz w:val="16"/>
                <w:szCs w:val="16"/>
              </w:rPr>
            </w:pPr>
            <w:r w:rsidDel="00000000" w:rsidR="00000000" w:rsidRPr="00000000">
              <w:rPr>
                <w:sz w:val="16"/>
                <w:szCs w:val="16"/>
                <w:rtl w:val="0"/>
              </w:rPr>
              <w:t xml:space="preserve">NEO</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276" w:lineRule="auto"/>
              <w:jc w:val="center"/>
              <w:rPr>
                <w:sz w:val="16"/>
                <w:szCs w:val="16"/>
              </w:rPr>
            </w:pPr>
            <w:r w:rsidDel="00000000" w:rsidR="00000000" w:rsidRPr="00000000">
              <w:rPr>
                <w:sz w:val="16"/>
                <w:szCs w:val="16"/>
                <w:rtl w:val="0"/>
              </w:rPr>
              <w:t xml:space="preserve">XMR</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276" w:lineRule="auto"/>
              <w:jc w:val="center"/>
              <w:rPr>
                <w:sz w:val="16"/>
                <w:szCs w:val="16"/>
              </w:rPr>
            </w:pPr>
            <w:r w:rsidDel="00000000" w:rsidR="00000000" w:rsidRPr="00000000">
              <w:rPr>
                <w:sz w:val="16"/>
                <w:szCs w:val="16"/>
                <w:rtl w:val="0"/>
              </w:rPr>
              <w:t xml:space="preserve">BNB</w:t>
            </w:r>
          </w:p>
        </w:tc>
      </w:tr>
      <w:tr>
        <w:trPr>
          <w:trHeight w:val="300" w:hRule="atLeast"/>
        </w:trPr>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276" w:lineRule="auto"/>
              <w:jc w:val="center"/>
              <w:rPr>
                <w:b w:val="1"/>
                <w:sz w:val="16"/>
                <w:szCs w:val="16"/>
              </w:rPr>
            </w:pPr>
            <w:r w:rsidDel="00000000" w:rsidR="00000000" w:rsidRPr="00000000">
              <w:rPr>
                <w:b w:val="1"/>
                <w:sz w:val="16"/>
                <w:szCs w:val="16"/>
                <w:rtl w:val="0"/>
              </w:rPr>
              <w:t xml:space="preserve">0.27</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E">
            <w:pPr>
              <w:widowControl w:val="0"/>
              <w:spacing w:line="276" w:lineRule="auto"/>
              <w:jc w:val="center"/>
              <w:rPr>
                <w:b w:val="1"/>
                <w:sz w:val="16"/>
                <w:szCs w:val="16"/>
              </w:rPr>
            </w:pPr>
            <w:r w:rsidDel="00000000" w:rsidR="00000000" w:rsidRPr="00000000">
              <w:rPr>
                <w:b w:val="1"/>
                <w:sz w:val="16"/>
                <w:szCs w:val="16"/>
                <w:rtl w:val="0"/>
              </w:rPr>
              <w:t xml:space="preserve">0.17</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F">
            <w:pPr>
              <w:widowControl w:val="0"/>
              <w:spacing w:line="276" w:lineRule="auto"/>
              <w:jc w:val="center"/>
              <w:rPr>
                <w:b w:val="1"/>
                <w:sz w:val="16"/>
                <w:szCs w:val="16"/>
              </w:rPr>
            </w:pPr>
            <w:r w:rsidDel="00000000" w:rsidR="00000000" w:rsidRPr="00000000">
              <w:rPr>
                <w:b w:val="1"/>
                <w:sz w:val="16"/>
                <w:szCs w:val="16"/>
                <w:rtl w:val="0"/>
              </w:rPr>
              <w:t xml:space="preserve">0.14</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0">
            <w:pPr>
              <w:widowControl w:val="0"/>
              <w:spacing w:line="276" w:lineRule="auto"/>
              <w:jc w:val="center"/>
              <w:rPr>
                <w:b w:val="1"/>
                <w:sz w:val="16"/>
                <w:szCs w:val="16"/>
              </w:rPr>
            </w:pPr>
            <w:r w:rsidDel="00000000" w:rsidR="00000000" w:rsidRPr="00000000">
              <w:rPr>
                <w:b w:val="1"/>
                <w:sz w:val="16"/>
                <w:szCs w:val="16"/>
                <w:rtl w:val="0"/>
              </w:rPr>
              <w:t xml:space="preserve">0.11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1">
            <w:pPr>
              <w:widowControl w:val="0"/>
              <w:spacing w:line="276" w:lineRule="auto"/>
              <w:jc w:val="center"/>
              <w:rPr>
                <w:b w:val="1"/>
                <w:sz w:val="16"/>
                <w:szCs w:val="16"/>
              </w:rPr>
            </w:pPr>
            <w:r w:rsidDel="00000000" w:rsidR="00000000" w:rsidRPr="00000000">
              <w:rPr>
                <w:b w:val="1"/>
                <w:sz w:val="16"/>
                <w:szCs w:val="16"/>
                <w:rtl w:val="0"/>
              </w:rPr>
              <w:t xml:space="preserve">0.11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2">
            <w:pPr>
              <w:widowControl w:val="0"/>
              <w:spacing w:line="276" w:lineRule="auto"/>
              <w:jc w:val="center"/>
              <w:rPr>
                <w:sz w:val="16"/>
                <w:szCs w:val="16"/>
              </w:rPr>
            </w:pPr>
            <w:r w:rsidDel="00000000" w:rsidR="00000000" w:rsidRPr="00000000">
              <w:rPr>
                <w:sz w:val="16"/>
                <w:szCs w:val="16"/>
                <w:rtl w:val="0"/>
              </w:rPr>
              <w:t xml:space="preserve">0.08</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3">
            <w:pPr>
              <w:widowControl w:val="0"/>
              <w:spacing w:line="276" w:lineRule="auto"/>
              <w:jc w:val="center"/>
              <w:rPr>
                <w:sz w:val="16"/>
                <w:szCs w:val="16"/>
              </w:rPr>
            </w:pPr>
            <w:r w:rsidDel="00000000" w:rsidR="00000000" w:rsidRPr="00000000">
              <w:rPr>
                <w:sz w:val="16"/>
                <w:szCs w:val="16"/>
                <w:rtl w:val="0"/>
              </w:rPr>
              <w:t xml:space="preserve">0.04</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4">
            <w:pPr>
              <w:widowControl w:val="0"/>
              <w:spacing w:line="276" w:lineRule="auto"/>
              <w:jc w:val="center"/>
              <w:rPr>
                <w:sz w:val="16"/>
                <w:szCs w:val="16"/>
              </w:rPr>
            </w:pPr>
            <w:r w:rsidDel="00000000" w:rsidR="00000000" w:rsidRPr="00000000">
              <w:rPr>
                <w:sz w:val="16"/>
                <w:szCs w:val="16"/>
                <w:rtl w:val="0"/>
              </w:rPr>
              <w:t xml:space="preserve">0.04</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5">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6">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7">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8">
            <w:pPr>
              <w:widowControl w:val="0"/>
              <w:spacing w:line="276" w:lineRule="auto"/>
              <w:jc w:val="center"/>
              <w:rPr>
                <w:sz w:val="16"/>
                <w:szCs w:val="16"/>
              </w:rPr>
            </w:pPr>
            <w:r w:rsidDel="00000000" w:rsidR="00000000" w:rsidRPr="00000000">
              <w:rPr>
                <w:sz w:val="16"/>
                <w:szCs w:val="16"/>
                <w:rtl w:val="0"/>
              </w:rPr>
              <w:t xml:space="preserve">0.00</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9">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A">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76" w:lineRule="auto"/>
              <w:jc w:val="center"/>
              <w:rPr>
                <w:sz w:val="16"/>
                <w:szCs w:val="16"/>
              </w:rPr>
            </w:pPr>
            <w:r w:rsidDel="00000000" w:rsidR="00000000" w:rsidRPr="00000000">
              <w:rPr>
                <w:sz w:val="16"/>
                <w:szCs w:val="16"/>
                <w:rtl w:val="0"/>
              </w:rPr>
              <w:t xml:space="preserve">-0.01</w:t>
            </w:r>
          </w:p>
        </w:tc>
      </w:tr>
      <w:tr>
        <w:trPr>
          <w:trHeight w:val="300" w:hRule="atLeast"/>
        </w:trPr>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C">
            <w:pPr>
              <w:widowControl w:val="0"/>
              <w:spacing w:line="276" w:lineRule="auto"/>
              <w:jc w:val="center"/>
              <w:rPr>
                <w:sz w:val="16"/>
                <w:szCs w:val="16"/>
              </w:rPr>
            </w:pPr>
            <w:r w:rsidDel="00000000" w:rsidR="00000000" w:rsidRPr="00000000">
              <w:rPr>
                <w:sz w:val="16"/>
                <w:szCs w:val="16"/>
                <w:rtl w:val="0"/>
              </w:rPr>
              <w:t xml:space="preserve">LTC</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D">
            <w:pPr>
              <w:widowControl w:val="0"/>
              <w:spacing w:line="276" w:lineRule="auto"/>
              <w:jc w:val="center"/>
              <w:rPr>
                <w:sz w:val="16"/>
                <w:szCs w:val="16"/>
              </w:rPr>
            </w:pPr>
            <w:r w:rsidDel="00000000" w:rsidR="00000000" w:rsidRPr="00000000">
              <w:rPr>
                <w:sz w:val="16"/>
                <w:szCs w:val="16"/>
                <w:rtl w:val="0"/>
              </w:rPr>
              <w:t xml:space="preserve">EOS</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E">
            <w:pPr>
              <w:widowControl w:val="0"/>
              <w:spacing w:line="276" w:lineRule="auto"/>
              <w:jc w:val="center"/>
              <w:rPr>
                <w:sz w:val="16"/>
                <w:szCs w:val="16"/>
              </w:rPr>
            </w:pPr>
            <w:r w:rsidDel="00000000" w:rsidR="00000000" w:rsidRPr="00000000">
              <w:rPr>
                <w:sz w:val="16"/>
                <w:szCs w:val="16"/>
                <w:rtl w:val="0"/>
              </w:rPr>
              <w:t xml:space="preserve">ETH</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7F">
            <w:pPr>
              <w:widowControl w:val="0"/>
              <w:spacing w:line="276" w:lineRule="auto"/>
              <w:jc w:val="center"/>
              <w:rPr>
                <w:sz w:val="16"/>
                <w:szCs w:val="16"/>
              </w:rPr>
            </w:pPr>
            <w:r w:rsidDel="00000000" w:rsidR="00000000" w:rsidRPr="00000000">
              <w:rPr>
                <w:sz w:val="16"/>
                <w:szCs w:val="16"/>
                <w:rtl w:val="0"/>
              </w:rPr>
              <w:t xml:space="preserve">DCR</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76" w:lineRule="auto"/>
              <w:jc w:val="center"/>
              <w:rPr>
                <w:sz w:val="16"/>
                <w:szCs w:val="16"/>
              </w:rPr>
            </w:pPr>
            <w:r w:rsidDel="00000000" w:rsidR="00000000" w:rsidRPr="00000000">
              <w:rPr>
                <w:sz w:val="16"/>
                <w:szCs w:val="16"/>
                <w:rtl w:val="0"/>
              </w:rPr>
              <w:t xml:space="preserve">LINK</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1">
            <w:pPr>
              <w:widowControl w:val="0"/>
              <w:spacing w:line="276" w:lineRule="auto"/>
              <w:jc w:val="center"/>
              <w:rPr>
                <w:sz w:val="16"/>
                <w:szCs w:val="16"/>
              </w:rPr>
            </w:pPr>
            <w:r w:rsidDel="00000000" w:rsidR="00000000" w:rsidRPr="00000000">
              <w:rPr>
                <w:sz w:val="16"/>
                <w:szCs w:val="16"/>
                <w:rtl w:val="0"/>
              </w:rPr>
              <w:t xml:space="preserve">BAT</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2">
            <w:pPr>
              <w:widowControl w:val="0"/>
              <w:spacing w:line="276" w:lineRule="auto"/>
              <w:jc w:val="center"/>
              <w:rPr>
                <w:sz w:val="16"/>
                <w:szCs w:val="16"/>
              </w:rPr>
            </w:pPr>
            <w:r w:rsidDel="00000000" w:rsidR="00000000" w:rsidRPr="00000000">
              <w:rPr>
                <w:sz w:val="16"/>
                <w:szCs w:val="16"/>
                <w:rtl w:val="0"/>
              </w:rPr>
              <w:t xml:space="preserve">BTG</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3">
            <w:pPr>
              <w:widowControl w:val="0"/>
              <w:spacing w:line="276" w:lineRule="auto"/>
              <w:jc w:val="center"/>
              <w:rPr>
                <w:sz w:val="16"/>
                <w:szCs w:val="16"/>
              </w:rPr>
            </w:pPr>
            <w:r w:rsidDel="00000000" w:rsidR="00000000" w:rsidRPr="00000000">
              <w:rPr>
                <w:sz w:val="16"/>
                <w:szCs w:val="16"/>
                <w:rtl w:val="0"/>
              </w:rPr>
              <w:t xml:space="preserve">ETC</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76" w:lineRule="auto"/>
              <w:jc w:val="center"/>
              <w:rPr>
                <w:sz w:val="16"/>
                <w:szCs w:val="16"/>
              </w:rPr>
            </w:pPr>
            <w:r w:rsidDel="00000000" w:rsidR="00000000" w:rsidRPr="00000000">
              <w:rPr>
                <w:sz w:val="16"/>
                <w:szCs w:val="16"/>
                <w:rtl w:val="0"/>
              </w:rPr>
              <w:t xml:space="preserve">ZEC</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76" w:lineRule="auto"/>
              <w:jc w:val="center"/>
              <w:rPr>
                <w:sz w:val="16"/>
                <w:szCs w:val="16"/>
              </w:rPr>
            </w:pPr>
            <w:r w:rsidDel="00000000" w:rsidR="00000000" w:rsidRPr="00000000">
              <w:rPr>
                <w:sz w:val="16"/>
                <w:szCs w:val="16"/>
                <w:rtl w:val="0"/>
              </w:rPr>
              <w:t xml:space="preserve">MIOTA</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76" w:lineRule="auto"/>
              <w:jc w:val="center"/>
              <w:rPr>
                <w:sz w:val="16"/>
                <w:szCs w:val="16"/>
              </w:rPr>
            </w:pPr>
            <w:r w:rsidDel="00000000" w:rsidR="00000000" w:rsidRPr="00000000">
              <w:rPr>
                <w:sz w:val="16"/>
                <w:szCs w:val="16"/>
                <w:rtl w:val="0"/>
              </w:rPr>
              <w:t xml:space="preserve">VET</w:t>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7">
            <w:pPr>
              <w:widowControl w:val="0"/>
              <w:spacing w:line="276" w:lineRule="auto"/>
              <w:jc w:val="center"/>
              <w:rPr>
                <w:sz w:val="16"/>
                <w:szCs w:val="16"/>
              </w:rPr>
            </w:pPr>
            <w:r w:rsidDel="00000000" w:rsidR="00000000" w:rsidRPr="00000000">
              <w:rPr>
                <w:b w:val="1"/>
                <w:sz w:val="16"/>
                <w:szCs w:val="16"/>
                <w:rtl w:val="0"/>
              </w:rPr>
              <w:t xml:space="preserve">BTC</w:t>
            </w:r>
            <w:r w:rsidDel="00000000" w:rsidR="00000000" w:rsidRPr="00000000">
              <w:rPr>
                <w:rtl w:val="0"/>
              </w:rPr>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jc w:val="center"/>
              <w:rPr>
                <w:sz w:val="16"/>
                <w:szCs w:val="16"/>
              </w:rPr>
            </w:pPr>
            <w:r w:rsidDel="00000000" w:rsidR="00000000" w:rsidRPr="00000000">
              <w:rPr>
                <w:b w:val="1"/>
                <w:sz w:val="16"/>
                <w:szCs w:val="16"/>
                <w:rtl w:val="0"/>
              </w:rPr>
              <w:t xml:space="preserve">BCH</w:t>
            </w:r>
            <w:r w:rsidDel="00000000" w:rsidR="00000000" w:rsidRPr="00000000">
              <w:rPr>
                <w:rtl w:val="0"/>
              </w:rPr>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9">
            <w:pPr>
              <w:widowControl w:val="0"/>
              <w:spacing w:line="276" w:lineRule="auto"/>
              <w:jc w:val="center"/>
              <w:rPr>
                <w:sz w:val="16"/>
                <w:szCs w:val="16"/>
              </w:rPr>
            </w:pPr>
            <w:r w:rsidDel="00000000" w:rsidR="00000000" w:rsidRPr="00000000">
              <w:rPr>
                <w:b w:val="1"/>
                <w:sz w:val="16"/>
                <w:szCs w:val="16"/>
                <w:rtl w:val="0"/>
              </w:rPr>
              <w:t xml:space="preserve">DOGE</w:t>
            </w:r>
            <w:r w:rsidDel="00000000" w:rsidR="00000000" w:rsidRPr="00000000">
              <w:rPr>
                <w:rtl w:val="0"/>
              </w:rPr>
            </w:r>
          </w:p>
        </w:tc>
        <w:tc>
          <w:tcPr>
            <w:tcBorders>
              <w:top w:color="efefef" w:space="0" w:sz="6" w:val="single"/>
              <w:left w:color="efefef" w:space="0" w:sz="6" w:val="single"/>
              <w:bottom w:color="efefef" w:space="0" w:sz="6" w:val="single"/>
              <w:right w:color="efefef"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jc w:val="center"/>
              <w:rPr>
                <w:sz w:val="16"/>
                <w:szCs w:val="16"/>
              </w:rPr>
            </w:pPr>
            <w:r w:rsidDel="00000000" w:rsidR="00000000" w:rsidRPr="00000000">
              <w:rPr>
                <w:b w:val="1"/>
                <w:sz w:val="16"/>
                <w:szCs w:val="16"/>
                <w:rtl w:val="0"/>
              </w:rPr>
              <w:t xml:space="preserve">BSV</w:t>
            </w:r>
            <w:r w:rsidDel="00000000" w:rsidR="00000000" w:rsidRPr="00000000">
              <w:rPr>
                <w:rtl w:val="0"/>
              </w:rPr>
            </w:r>
          </w:p>
        </w:tc>
      </w:tr>
      <w:tr>
        <w:trPr>
          <w:trHeight w:val="300" w:hRule="atLeast"/>
        </w:trPr>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jc w:val="center"/>
              <w:rPr>
                <w:sz w:val="16"/>
                <w:szCs w:val="16"/>
              </w:rPr>
            </w:pPr>
            <w:r w:rsidDel="00000000" w:rsidR="00000000" w:rsidRPr="00000000">
              <w:rPr>
                <w:sz w:val="16"/>
                <w:szCs w:val="16"/>
                <w:rtl w:val="0"/>
              </w:rPr>
              <w:t xml:space="preserve">-0.01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76" w:lineRule="auto"/>
              <w:jc w:val="center"/>
              <w:rPr>
                <w:sz w:val="16"/>
                <w:szCs w:val="16"/>
              </w:rPr>
            </w:pPr>
            <w:r w:rsidDel="00000000" w:rsidR="00000000" w:rsidRPr="00000000">
              <w:rPr>
                <w:sz w:val="16"/>
                <w:szCs w:val="16"/>
                <w:rtl w:val="0"/>
              </w:rPr>
              <w:t xml:space="preserve">-0.02</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76" w:lineRule="auto"/>
              <w:jc w:val="center"/>
              <w:rPr>
                <w:sz w:val="16"/>
                <w:szCs w:val="16"/>
              </w:rPr>
            </w:pPr>
            <w:r w:rsidDel="00000000" w:rsidR="00000000" w:rsidRPr="00000000">
              <w:rPr>
                <w:sz w:val="16"/>
                <w:szCs w:val="16"/>
                <w:rtl w:val="0"/>
              </w:rPr>
              <w:t xml:space="preserve">-0.02</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jc w:val="center"/>
              <w:rPr>
                <w:sz w:val="16"/>
                <w:szCs w:val="16"/>
              </w:rPr>
            </w:pPr>
            <w:r w:rsidDel="00000000" w:rsidR="00000000" w:rsidRPr="00000000">
              <w:rPr>
                <w:sz w:val="16"/>
                <w:szCs w:val="16"/>
                <w:rtl w:val="0"/>
              </w:rPr>
              <w:t xml:space="preserve">-0.03</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F">
            <w:pPr>
              <w:widowControl w:val="0"/>
              <w:spacing w:line="276" w:lineRule="auto"/>
              <w:jc w:val="center"/>
              <w:rPr>
                <w:sz w:val="16"/>
                <w:szCs w:val="16"/>
              </w:rPr>
            </w:pPr>
            <w:r w:rsidDel="00000000" w:rsidR="00000000" w:rsidRPr="00000000">
              <w:rPr>
                <w:sz w:val="16"/>
                <w:szCs w:val="16"/>
                <w:rtl w:val="0"/>
              </w:rPr>
              <w:t xml:space="preserve">-0.03</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76" w:lineRule="auto"/>
              <w:jc w:val="center"/>
              <w:rPr>
                <w:sz w:val="16"/>
                <w:szCs w:val="16"/>
              </w:rPr>
            </w:pPr>
            <w:r w:rsidDel="00000000" w:rsidR="00000000" w:rsidRPr="00000000">
              <w:rPr>
                <w:sz w:val="16"/>
                <w:szCs w:val="16"/>
                <w:rtl w:val="0"/>
              </w:rPr>
              <w:t xml:space="preserve">-0.03</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jc w:val="center"/>
              <w:rPr>
                <w:sz w:val="16"/>
                <w:szCs w:val="16"/>
              </w:rPr>
            </w:pPr>
            <w:r w:rsidDel="00000000" w:rsidR="00000000" w:rsidRPr="00000000">
              <w:rPr>
                <w:sz w:val="16"/>
                <w:szCs w:val="16"/>
                <w:rtl w:val="0"/>
              </w:rPr>
              <w:t xml:space="preserve">-0.06</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2">
            <w:pPr>
              <w:widowControl w:val="0"/>
              <w:spacing w:line="276" w:lineRule="auto"/>
              <w:jc w:val="center"/>
              <w:rPr>
                <w:sz w:val="16"/>
                <w:szCs w:val="16"/>
              </w:rPr>
            </w:pPr>
            <w:r w:rsidDel="00000000" w:rsidR="00000000" w:rsidRPr="00000000">
              <w:rPr>
                <w:sz w:val="16"/>
                <w:szCs w:val="16"/>
                <w:rtl w:val="0"/>
              </w:rPr>
              <w:t xml:space="preserve">-0.07</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3">
            <w:pPr>
              <w:widowControl w:val="0"/>
              <w:spacing w:line="276" w:lineRule="auto"/>
              <w:jc w:val="center"/>
              <w:rPr>
                <w:sz w:val="16"/>
                <w:szCs w:val="16"/>
              </w:rPr>
            </w:pPr>
            <w:r w:rsidDel="00000000" w:rsidR="00000000" w:rsidRPr="00000000">
              <w:rPr>
                <w:sz w:val="16"/>
                <w:szCs w:val="16"/>
                <w:rtl w:val="0"/>
              </w:rPr>
              <w:t xml:space="preserve">-0.08</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jc w:val="center"/>
              <w:rPr>
                <w:sz w:val="16"/>
                <w:szCs w:val="16"/>
              </w:rPr>
            </w:pPr>
            <w:r w:rsidDel="00000000" w:rsidR="00000000" w:rsidRPr="00000000">
              <w:rPr>
                <w:sz w:val="16"/>
                <w:szCs w:val="16"/>
                <w:rtl w:val="0"/>
              </w:rPr>
              <w:t xml:space="preserve">-0.08</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5">
            <w:pPr>
              <w:widowControl w:val="0"/>
              <w:spacing w:line="276" w:lineRule="auto"/>
              <w:jc w:val="center"/>
              <w:rPr>
                <w:sz w:val="16"/>
                <w:szCs w:val="16"/>
              </w:rPr>
            </w:pPr>
            <w:r w:rsidDel="00000000" w:rsidR="00000000" w:rsidRPr="00000000">
              <w:rPr>
                <w:sz w:val="16"/>
                <w:szCs w:val="16"/>
                <w:rtl w:val="0"/>
              </w:rPr>
              <w:t xml:space="preserve">-0.08</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6">
            <w:pPr>
              <w:widowControl w:val="0"/>
              <w:spacing w:line="276" w:lineRule="auto"/>
              <w:jc w:val="center"/>
              <w:rPr>
                <w:b w:val="1"/>
                <w:sz w:val="16"/>
                <w:szCs w:val="16"/>
              </w:rPr>
            </w:pPr>
            <w:r w:rsidDel="00000000" w:rsidR="00000000" w:rsidRPr="00000000">
              <w:rPr>
                <w:b w:val="1"/>
                <w:sz w:val="16"/>
                <w:szCs w:val="16"/>
                <w:rtl w:val="0"/>
              </w:rPr>
              <w:t xml:space="preserve">-0.11</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jc w:val="center"/>
              <w:rPr>
                <w:b w:val="1"/>
                <w:sz w:val="16"/>
                <w:szCs w:val="16"/>
              </w:rPr>
            </w:pPr>
            <w:r w:rsidDel="00000000" w:rsidR="00000000" w:rsidRPr="00000000">
              <w:rPr>
                <w:b w:val="1"/>
                <w:sz w:val="16"/>
                <w:szCs w:val="16"/>
                <w:rtl w:val="0"/>
              </w:rPr>
              <w:t xml:space="preserve">-0.13</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8">
            <w:pPr>
              <w:widowControl w:val="0"/>
              <w:spacing w:line="276" w:lineRule="auto"/>
              <w:jc w:val="center"/>
              <w:rPr>
                <w:b w:val="1"/>
                <w:sz w:val="16"/>
                <w:szCs w:val="16"/>
              </w:rPr>
            </w:pPr>
            <w:r w:rsidDel="00000000" w:rsidR="00000000" w:rsidRPr="00000000">
              <w:rPr>
                <w:b w:val="1"/>
                <w:sz w:val="16"/>
                <w:szCs w:val="16"/>
                <w:rtl w:val="0"/>
              </w:rPr>
              <w:t xml:space="preserve">-0.14</w:t>
            </w:r>
          </w:p>
        </w:tc>
        <w:tc>
          <w:tcPr>
            <w:tcBorders>
              <w:top w:color="efefef" w:space="0" w:sz="6" w:val="single"/>
              <w:left w:color="efefef" w:space="0" w:sz="6" w:val="single"/>
              <w:bottom w:color="efefef" w:space="0" w:sz="6" w:val="single"/>
              <w:right w:color="efefe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9">
            <w:pPr>
              <w:widowControl w:val="0"/>
              <w:spacing w:line="276" w:lineRule="auto"/>
              <w:jc w:val="center"/>
              <w:rPr>
                <w:b w:val="1"/>
                <w:sz w:val="16"/>
                <w:szCs w:val="16"/>
              </w:rPr>
            </w:pPr>
            <w:r w:rsidDel="00000000" w:rsidR="00000000" w:rsidRPr="00000000">
              <w:rPr>
                <w:b w:val="1"/>
                <w:sz w:val="16"/>
                <w:szCs w:val="16"/>
                <w:rtl w:val="0"/>
              </w:rPr>
              <w:t xml:space="preserve">-0.31</w:t>
            </w:r>
          </w:p>
        </w:tc>
      </w:tr>
    </w:tbl>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rtl w:val="0"/>
        </w:rPr>
        <w:t xml:space="preserve">从上表中发现出一些有趣的现象：.</w:t>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numPr>
          <w:ilvl w:val="0"/>
          <w:numId w:val="2"/>
        </w:numPr>
        <w:spacing w:line="276" w:lineRule="auto"/>
        <w:ind w:left="720" w:hanging="360"/>
        <w:rPr/>
      </w:pPr>
      <w:r w:rsidDel="00000000" w:rsidR="00000000" w:rsidRPr="00000000">
        <w:rPr>
          <w:b w:val="1"/>
          <w:rtl w:val="0"/>
        </w:rPr>
        <w:t xml:space="preserve">2019年第二季度</w:t>
      </w:r>
      <w:r w:rsidDel="00000000" w:rsidR="00000000" w:rsidRPr="00000000">
        <w:rPr>
          <w:rtl w:val="0"/>
        </w:rPr>
        <w:t xml:space="preserve">与第一季度相比，</w:t>
      </w:r>
      <w:r w:rsidDel="00000000" w:rsidR="00000000" w:rsidRPr="00000000">
        <w:rPr>
          <w:b w:val="1"/>
          <w:rtl w:val="0"/>
        </w:rPr>
        <w:t xml:space="preserve">比特币</w:t>
      </w:r>
      <w:r w:rsidDel="00000000" w:rsidR="00000000" w:rsidRPr="00000000">
        <w:rPr>
          <w:rtl w:val="0"/>
        </w:rPr>
        <w:t xml:space="preserve">（BTC）与其他加密资产之间的</w:t>
      </w:r>
      <w:r w:rsidDel="00000000" w:rsidR="00000000" w:rsidRPr="00000000">
        <w:rPr>
          <w:b w:val="1"/>
          <w:rtl w:val="0"/>
        </w:rPr>
        <w:t xml:space="preserve">相关性有所下降</w:t>
      </w:r>
      <w:r w:rsidDel="00000000" w:rsidR="00000000" w:rsidRPr="00000000">
        <w:rPr>
          <w:rtl w:val="0"/>
        </w:rPr>
        <w:t xml:space="preserve">。比特币与altcoin之间的相关性降低，平均相关性下降幅度为</w:t>
      </w:r>
      <w:r w:rsidDel="00000000" w:rsidR="00000000" w:rsidRPr="00000000">
        <w:rPr>
          <w:b w:val="1"/>
          <w:rtl w:val="0"/>
        </w:rPr>
        <w:t xml:space="preserve">0.11</w:t>
      </w:r>
      <w:r w:rsidDel="00000000" w:rsidR="00000000" w:rsidRPr="00000000">
        <w:rPr>
          <w:rtl w:val="0"/>
        </w:rPr>
        <w:t xml:space="preserve">。如上文所述，加密资产整体市值上涨</w:t>
      </w:r>
      <w:r w:rsidDel="00000000" w:rsidR="00000000" w:rsidRPr="00000000">
        <w:rPr>
          <w:b w:val="1"/>
          <w:rtl w:val="0"/>
        </w:rPr>
        <w:t xml:space="preserve">139%</w:t>
      </w:r>
      <w:r w:rsidDel="00000000" w:rsidR="00000000" w:rsidRPr="00000000">
        <w:rPr>
          <w:rtl w:val="0"/>
        </w:rPr>
        <w:t xml:space="preserve">，而同期</w:t>
      </w:r>
      <w:r w:rsidDel="00000000" w:rsidR="00000000" w:rsidRPr="00000000">
        <w:rPr>
          <w:b w:val="1"/>
          <w:rtl w:val="0"/>
        </w:rPr>
        <w:t xml:space="preserve">altcoin总计市值</w:t>
      </w:r>
      <w:r w:rsidDel="00000000" w:rsidR="00000000" w:rsidRPr="00000000">
        <w:rPr>
          <w:rtl w:val="0"/>
        </w:rPr>
        <w:t xml:space="preserve">（包括稳定币）上升幅度“仅”有</w:t>
      </w:r>
      <w:r w:rsidDel="00000000" w:rsidR="00000000" w:rsidRPr="00000000">
        <w:rPr>
          <w:b w:val="1"/>
          <w:rtl w:val="0"/>
        </w:rPr>
        <w:t xml:space="preserve">71%</w:t>
      </w:r>
      <w:r w:rsidDel="00000000" w:rsidR="00000000" w:rsidRPr="00000000">
        <w:rPr>
          <w:rtl w:val="0"/>
        </w:rPr>
        <w:t xml:space="preserve">。这很可能是因为加密资产投资者在</w:t>
      </w:r>
      <w:r w:rsidDel="00000000" w:rsidR="00000000" w:rsidRPr="00000000">
        <w:rPr>
          <w:b w:val="1"/>
          <w:rtl w:val="0"/>
        </w:rPr>
        <w:t xml:space="preserve">早期牛市状态</w:t>
      </w:r>
      <w:r w:rsidDel="00000000" w:rsidR="00000000" w:rsidRPr="00000000">
        <w:rPr>
          <w:rtl w:val="0"/>
        </w:rPr>
        <w:t xml:space="preserve">下会进行</w:t>
      </w:r>
      <w:r w:rsidDel="00000000" w:rsidR="00000000" w:rsidRPr="00000000">
        <w:rPr>
          <w:b w:val="1"/>
          <w:rtl w:val="0"/>
        </w:rPr>
        <w:t xml:space="preserve">“安全投资转移”</w:t>
      </w:r>
      <w:r w:rsidDel="00000000" w:rsidR="00000000" w:rsidRPr="00000000">
        <w:rPr>
          <w:rtl w:val="0"/>
        </w:rPr>
        <w:t xml:space="preserve">，我们在后续报告中可能会进一步探讨这一行为。</w:t>
      </w:r>
    </w:p>
    <w:p w:rsidR="00000000" w:rsidDel="00000000" w:rsidP="00000000" w:rsidRDefault="00000000" w:rsidRPr="00000000" w14:paraId="0000009E">
      <w:pPr>
        <w:spacing w:line="276" w:lineRule="auto"/>
        <w:ind w:left="720" w:firstLine="0"/>
        <w:rPr/>
      </w:pPr>
      <w:r w:rsidDel="00000000" w:rsidR="00000000" w:rsidRPr="00000000">
        <w:rPr>
          <w:rtl w:val="0"/>
        </w:rPr>
      </w:r>
    </w:p>
    <w:p w:rsidR="00000000" w:rsidDel="00000000" w:rsidP="00000000" w:rsidRDefault="00000000" w:rsidRPr="00000000" w14:paraId="0000009F">
      <w:pPr>
        <w:numPr>
          <w:ilvl w:val="0"/>
          <w:numId w:val="2"/>
        </w:numPr>
        <w:spacing w:line="276" w:lineRule="auto"/>
        <w:ind w:left="720" w:hanging="360"/>
        <w:rPr>
          <w:rFonts w:ascii="Arial" w:cs="Arial" w:eastAsia="Arial" w:hAnsi="Arial"/>
        </w:rPr>
      </w:pPr>
      <w:r w:rsidDel="00000000" w:rsidR="00000000" w:rsidRPr="00000000">
        <w:rPr>
          <w:rtl w:val="0"/>
        </w:rPr>
        <w:t xml:space="preserve">与2019年一季度相比，其他</w:t>
      </w:r>
      <w:r w:rsidDel="00000000" w:rsidR="00000000" w:rsidRPr="00000000">
        <w:rPr>
          <w:b w:val="1"/>
          <w:rtl w:val="0"/>
        </w:rPr>
        <w:t xml:space="preserve">采用工作量证明机制的加密资产</w:t>
      </w:r>
      <w:r w:rsidDel="00000000" w:rsidR="00000000" w:rsidRPr="00000000">
        <w:rPr>
          <w:rtl w:val="0"/>
        </w:rPr>
        <w:t xml:space="preserve">（如：BCH、DOGE、BTC、ETC、BTG）与其他加密资产之间的</w:t>
      </w:r>
      <w:r w:rsidDel="00000000" w:rsidR="00000000" w:rsidRPr="00000000">
        <w:rPr>
          <w:b w:val="1"/>
          <w:rtl w:val="0"/>
        </w:rPr>
        <w:t xml:space="preserve">相关性有所降低</w:t>
      </w:r>
      <w:r w:rsidDel="00000000" w:rsidR="00000000" w:rsidRPr="00000000">
        <w:rPr>
          <w:rtl w:val="0"/>
        </w:rPr>
        <w:t xml:space="preserve">。采用工作量证明机制的加密资产彼此之间并未呈现出更高的相关性，且与其他加密资产之间的相关性均出现更大幅的下降。</w:t>
      </w:r>
    </w:p>
    <w:p w:rsidR="00000000" w:rsidDel="00000000" w:rsidP="00000000" w:rsidRDefault="00000000" w:rsidRPr="00000000" w14:paraId="000000A0">
      <w:pPr>
        <w:spacing w:line="276" w:lineRule="auto"/>
        <w:ind w:left="720" w:firstLine="0"/>
        <w:rPr/>
      </w:pPr>
      <w:r w:rsidDel="00000000" w:rsidR="00000000" w:rsidRPr="00000000">
        <w:rPr>
          <w:rtl w:val="0"/>
        </w:rPr>
      </w:r>
    </w:p>
    <w:p w:rsidR="00000000" w:rsidDel="00000000" w:rsidP="00000000" w:rsidRDefault="00000000" w:rsidRPr="00000000" w14:paraId="000000A1">
      <w:pPr>
        <w:numPr>
          <w:ilvl w:val="0"/>
          <w:numId w:val="2"/>
        </w:numPr>
        <w:spacing w:line="276" w:lineRule="auto"/>
        <w:ind w:left="720" w:hanging="360"/>
        <w:rPr/>
      </w:pPr>
      <w:r w:rsidDel="00000000" w:rsidR="00000000" w:rsidRPr="00000000">
        <w:rPr>
          <w:rtl w:val="0"/>
        </w:rPr>
        <w:t xml:space="preserve">Tezos (XTZ)、本体币 (ONT) 和波场币 (TRX)与其他加密货币之间的平均相关性上升幅度最大。</w:t>
      </w:r>
    </w:p>
    <w:p w:rsidR="00000000" w:rsidDel="00000000" w:rsidP="00000000" w:rsidRDefault="00000000" w:rsidRPr="00000000" w14:paraId="000000A2">
      <w:pPr>
        <w:spacing w:line="276" w:lineRule="auto"/>
        <w:ind w:left="720" w:firstLine="0"/>
        <w:rPr/>
      </w:pPr>
      <w:r w:rsidDel="00000000" w:rsidR="00000000" w:rsidRPr="00000000">
        <w:rPr>
          <w:rtl w:val="0"/>
        </w:rPr>
      </w:r>
    </w:p>
    <w:p w:rsidR="00000000" w:rsidDel="00000000" w:rsidP="00000000" w:rsidRDefault="00000000" w:rsidRPr="00000000" w14:paraId="000000A3">
      <w:pPr>
        <w:numPr>
          <w:ilvl w:val="0"/>
          <w:numId w:val="2"/>
        </w:numPr>
        <w:spacing w:line="276" w:lineRule="auto"/>
        <w:ind w:left="720" w:hanging="360"/>
        <w:rPr/>
      </w:pPr>
      <w:r w:rsidDel="00000000" w:rsidR="00000000" w:rsidRPr="00000000">
        <w:rPr>
          <w:rtl w:val="0"/>
        </w:rPr>
        <w:t xml:space="preserve">另一方面，Bitcoin SV (BSV)的</w:t>
      </w:r>
      <w:r w:rsidDel="00000000" w:rsidR="00000000" w:rsidRPr="00000000">
        <w:rPr>
          <w:b w:val="1"/>
          <w:rtl w:val="0"/>
        </w:rPr>
        <w:t xml:space="preserve">平均相关性下降幅度最大</w:t>
      </w:r>
      <w:r w:rsidDel="00000000" w:rsidR="00000000" w:rsidRPr="00000000">
        <w:rPr>
          <w:rtl w:val="0"/>
        </w:rPr>
        <w:t xml:space="preserve">，这很可能是因为它从Kraken</w:t>
      </w:r>
      <w:r w:rsidDel="00000000" w:rsidR="00000000" w:rsidRPr="00000000">
        <w:rPr>
          <w:vertAlign w:val="superscript"/>
        </w:rPr>
        <w:footnoteReference w:customMarkFollows="0" w:id="7"/>
      </w:r>
      <w:r w:rsidDel="00000000" w:rsidR="00000000" w:rsidRPr="00000000">
        <w:rPr>
          <w:rtl w:val="0"/>
        </w:rPr>
        <w:t xml:space="preserve">和币安</w:t>
      </w:r>
      <w:r w:rsidDel="00000000" w:rsidR="00000000" w:rsidRPr="00000000">
        <w:rPr>
          <w:vertAlign w:val="superscript"/>
        </w:rPr>
        <w:footnoteReference w:customMarkFollows="0" w:id="8"/>
      </w:r>
      <w:r w:rsidDel="00000000" w:rsidR="00000000" w:rsidRPr="00000000">
        <w:rPr>
          <w:rtl w:val="0"/>
        </w:rPr>
        <w:t xml:space="preserve">交易平台下架所致。有趣的是，Dogecoin (DOGE)与其他加密资产之间的相关性也进一步降低，但与莱特币仍保持较高的相关性（</w:t>
      </w:r>
      <w:r w:rsidDel="00000000" w:rsidR="00000000" w:rsidRPr="00000000">
        <w:rPr>
          <w:rtl w:val="0"/>
        </w:rPr>
        <w:t xml:space="preserve">0.55</w:t>
      </w:r>
      <w:r w:rsidDel="00000000" w:rsidR="00000000" w:rsidRPr="00000000">
        <w:rPr>
          <w:rtl w:val="0"/>
        </w:rPr>
        <w:t xml:space="preserve">），这可能是由于</w:t>
      </w:r>
      <w:r w:rsidDel="00000000" w:rsidR="00000000" w:rsidRPr="00000000">
        <w:rPr>
          <w:u w:val="single"/>
          <w:rtl w:val="0"/>
        </w:rPr>
        <w:t xml:space="preserve">这两种货币合并挖矿</w:t>
      </w:r>
      <w:r w:rsidDel="00000000" w:rsidR="00000000" w:rsidRPr="00000000">
        <w:rPr>
          <w:rtl w:val="0"/>
        </w:rPr>
        <w:t xml:space="preserve">导致的。</w:t>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t xml:space="preserve"> 尽管从2019年第一季度到第二季度出现了一些结构性变化，但</w:t>
      </w:r>
      <w:r w:rsidDel="00000000" w:rsidR="00000000" w:rsidRPr="00000000">
        <w:rPr>
          <w:b w:val="1"/>
          <w:rtl w:val="0"/>
        </w:rPr>
        <w:t xml:space="preserve">大部分加密资产之间的相关性仍较高</w:t>
      </w:r>
      <w:r w:rsidDel="00000000" w:rsidR="00000000" w:rsidRPr="00000000">
        <w:rPr>
          <w:rtl w:val="0"/>
        </w:rPr>
        <w:t xml:space="preserve">，二季度平均相关性为</w:t>
      </w:r>
      <w:r w:rsidDel="00000000" w:rsidR="00000000" w:rsidRPr="00000000">
        <w:rPr>
          <w:rtl w:val="0"/>
        </w:rPr>
        <w:t xml:space="preserve">0.57</w:t>
      </w:r>
      <w:r w:rsidDel="00000000" w:rsidR="00000000" w:rsidRPr="00000000">
        <w:rPr>
          <w:rtl w:val="0"/>
        </w:rPr>
        <w:t xml:space="preserve">。</w:t>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spacing w:line="276" w:lineRule="auto"/>
        <w:rPr/>
      </w:pPr>
      <w:r w:rsidDel="00000000" w:rsidR="00000000" w:rsidRPr="00000000">
        <w:rPr>
          <w:rtl w:val="0"/>
        </w:rPr>
        <w:t xml:space="preserve">因此，在加密资产行业内部，通过</w:t>
      </w:r>
      <w:r w:rsidDel="00000000" w:rsidR="00000000" w:rsidRPr="00000000">
        <w:rPr>
          <w:b w:val="1"/>
          <w:rtl w:val="0"/>
        </w:rPr>
        <w:t xml:space="preserve">只做多</w:t>
      </w:r>
      <w:r w:rsidDel="00000000" w:rsidR="00000000" w:rsidRPr="00000000">
        <w:rPr>
          <w:rtl w:val="0"/>
        </w:rPr>
        <w:t xml:space="preserve">大市值加密资产的</w:t>
      </w:r>
      <w:r w:rsidDel="00000000" w:rsidR="00000000" w:rsidRPr="00000000">
        <w:rPr>
          <w:b w:val="1"/>
          <w:rtl w:val="0"/>
        </w:rPr>
        <w:t xml:space="preserve">多头头寸</w:t>
      </w:r>
      <w:r w:rsidDel="00000000" w:rsidR="00000000" w:rsidRPr="00000000">
        <w:rPr>
          <w:rtl w:val="0"/>
        </w:rPr>
        <w:t xml:space="preserve">来实现风险分散投资</w:t>
      </w:r>
      <w:r w:rsidDel="00000000" w:rsidR="00000000" w:rsidRPr="00000000">
        <w:rPr>
          <w:rtl w:val="0"/>
        </w:rPr>
        <w:t xml:space="preserve">，仍然</w:t>
      </w:r>
      <w:r w:rsidDel="00000000" w:rsidR="00000000" w:rsidRPr="00000000">
        <w:rPr>
          <w:b w:val="1"/>
          <w:rtl w:val="0"/>
        </w:rPr>
        <w:t xml:space="preserve">很有难度</w:t>
      </w:r>
      <w:r w:rsidDel="00000000" w:rsidR="00000000" w:rsidRPr="00000000">
        <w:rPr>
          <w:rtl w:val="0"/>
        </w:rPr>
        <w:t xml:space="preserve">。然而，</w:t>
      </w:r>
      <w:r w:rsidDel="00000000" w:rsidR="00000000" w:rsidRPr="00000000">
        <w:rPr>
          <w:b w:val="1"/>
          <w:rtl w:val="0"/>
        </w:rPr>
        <w:t xml:space="preserve">投资低市值加密资产</w:t>
      </w:r>
      <w:r w:rsidDel="00000000" w:rsidR="00000000" w:rsidRPr="00000000">
        <w:rPr>
          <w:rtl w:val="0"/>
        </w:rPr>
        <w:t xml:space="preserve">或是采取</w:t>
      </w:r>
      <w:r w:rsidDel="00000000" w:rsidR="00000000" w:rsidRPr="00000000">
        <w:rPr>
          <w:b w:val="1"/>
          <w:rtl w:val="0"/>
        </w:rPr>
        <w:t xml:space="preserve">做多/做空相结合</w:t>
      </w:r>
      <w:r w:rsidDel="00000000" w:rsidR="00000000" w:rsidRPr="00000000">
        <w:rPr>
          <w:rtl w:val="0"/>
        </w:rPr>
        <w:t xml:space="preserve">等</w:t>
      </w:r>
      <w:r w:rsidDel="00000000" w:rsidR="00000000" w:rsidRPr="00000000">
        <w:rPr>
          <w:b w:val="1"/>
          <w:rtl w:val="0"/>
        </w:rPr>
        <w:t xml:space="preserve">替代性策略</w:t>
      </w:r>
      <w:r w:rsidDel="00000000" w:rsidR="00000000" w:rsidRPr="00000000">
        <w:rPr>
          <w:rtl w:val="0"/>
        </w:rPr>
        <w:t xml:space="preserve">可能有助于投资者建立市场中立投资组合。由于投资者可接触到更多的去中心化融资（DeFi）</w:t>
      </w:r>
      <w:r w:rsidDel="00000000" w:rsidR="00000000" w:rsidRPr="00000000">
        <w:rPr>
          <w:vertAlign w:val="superscript"/>
        </w:rPr>
        <w:footnoteReference w:customMarkFollows="0" w:id="9"/>
      </w:r>
      <w:r w:rsidDel="00000000" w:rsidR="00000000" w:rsidRPr="00000000">
        <w:rPr>
          <w:rtl w:val="0"/>
        </w:rPr>
        <w:t xml:space="preserve">和杠杆产品，因此他们也许能够获得流动性更强、复杂性更高的金融工具，从而帮助他们在未来建立更独特的投资策略。</w:t>
      </w:r>
    </w:p>
    <w:p w:rsidR="00000000" w:rsidDel="00000000" w:rsidP="00000000" w:rsidRDefault="00000000" w:rsidRPr="00000000" w14:paraId="000000A8">
      <w:pPr>
        <w:pStyle w:val="Heading1"/>
        <w:spacing w:line="276" w:lineRule="auto"/>
        <w:rPr/>
      </w:pPr>
      <w:bookmarkStart w:colFirst="0" w:colLast="0" w:name="_bwuurgd6comq" w:id="3"/>
      <w:bookmarkEnd w:id="3"/>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spacing w:line="276" w:lineRule="auto"/>
        <w:rPr/>
      </w:pPr>
      <w:bookmarkStart w:colFirst="0" w:colLast="0" w:name="_7gs4m9ofzypk" w:id="4"/>
      <w:bookmarkEnd w:id="4"/>
      <w:r w:rsidDel="00000000" w:rsidR="00000000" w:rsidRPr="00000000">
        <w:rPr>
          <w:rtl w:val="0"/>
        </w:rPr>
        <w:t xml:space="preserve">4. Launchpad数字资产相关性快览</w:t>
      </w:r>
    </w:p>
    <w:p w:rsidR="00000000" w:rsidDel="00000000" w:rsidP="00000000" w:rsidRDefault="00000000" w:rsidRPr="00000000" w14:paraId="000000AA">
      <w:pPr>
        <w:spacing w:line="276" w:lineRule="auto"/>
        <w:rPr/>
      </w:pPr>
      <w:r w:rsidDel="00000000" w:rsidR="00000000" w:rsidRPr="00000000">
        <w:rPr>
          <w:rtl w:val="0"/>
        </w:rPr>
      </w:r>
    </w:p>
    <w:p w:rsidR="00000000" w:rsidDel="00000000" w:rsidP="00000000" w:rsidRDefault="00000000" w:rsidRPr="00000000" w14:paraId="000000AB">
      <w:pPr>
        <w:spacing w:line="276" w:lineRule="auto"/>
        <w:rPr/>
      </w:pPr>
      <w:r w:rsidDel="00000000" w:rsidR="00000000" w:rsidRPr="00000000">
        <w:rPr>
          <w:rtl w:val="0"/>
        </w:rPr>
      </w:r>
    </w:p>
    <w:p w:rsidR="00000000" w:rsidDel="00000000" w:rsidP="00000000" w:rsidRDefault="00000000" w:rsidRPr="00000000" w14:paraId="000000AC">
      <w:pPr>
        <w:spacing w:line="276" w:lineRule="auto"/>
        <w:rPr/>
      </w:pPr>
      <w:r w:rsidDel="00000000" w:rsidR="00000000" w:rsidRPr="00000000">
        <w:rPr>
          <w:rtl w:val="0"/>
        </w:rPr>
        <w:t xml:space="preserve">2019年1-3月</w:t>
      </w:r>
      <w:r w:rsidDel="00000000" w:rsidR="00000000" w:rsidRPr="00000000">
        <w:rPr>
          <w:rtl w:val="0"/>
        </w:rPr>
        <w:t xml:space="preserve">，Binance Launchpad圆满完成了三次IEO</w:t>
      </w:r>
      <w:r w:rsidDel="00000000" w:rsidR="00000000" w:rsidRPr="00000000">
        <w:rPr>
          <w:u w:val="single"/>
          <w:rtl w:val="0"/>
        </w:rPr>
        <w:t xml:space="preserve">（首次交易平台发行）</w:t>
      </w:r>
      <w:r w:rsidDel="00000000" w:rsidR="00000000" w:rsidRPr="00000000">
        <w:rPr>
          <w:rtl w:val="0"/>
        </w:rPr>
        <w:t xml:space="preserve">：</w:t>
      </w:r>
    </w:p>
    <w:p w:rsidR="00000000" w:rsidDel="00000000" w:rsidP="00000000" w:rsidRDefault="00000000" w:rsidRPr="00000000" w14:paraId="000000AD">
      <w:pPr>
        <w:spacing w:line="276" w:lineRule="auto"/>
        <w:rPr/>
      </w:pPr>
      <w:r w:rsidDel="00000000" w:rsidR="00000000" w:rsidRPr="00000000">
        <w:rPr>
          <w:rtl w:val="0"/>
        </w:rPr>
      </w:r>
    </w:p>
    <w:p w:rsidR="00000000" w:rsidDel="00000000" w:rsidP="00000000" w:rsidRDefault="00000000" w:rsidRPr="00000000" w14:paraId="000000AE">
      <w:pPr>
        <w:numPr>
          <w:ilvl w:val="0"/>
          <w:numId w:val="5"/>
        </w:numPr>
        <w:spacing w:line="276" w:lineRule="auto"/>
        <w:ind w:left="720" w:hanging="360"/>
        <w:rPr/>
      </w:pPr>
      <w:r w:rsidDel="00000000" w:rsidR="00000000" w:rsidRPr="00000000">
        <w:rPr>
          <w:rtl w:val="0"/>
        </w:rPr>
        <w:t xml:space="preserve">2019年2月3日</w:t>
      </w:r>
      <w:r w:rsidDel="00000000" w:rsidR="00000000" w:rsidRPr="00000000">
        <w:rPr>
          <w:rtl w:val="0"/>
        </w:rPr>
        <w:t xml:space="preserve">，发行</w:t>
      </w:r>
      <w:hyperlink r:id="rId11">
        <w:r w:rsidDel="00000000" w:rsidR="00000000" w:rsidRPr="00000000">
          <w:rPr>
            <w:u w:val="single"/>
            <w:rtl w:val="0"/>
          </w:rPr>
          <w:t xml:space="preserve">BitTorrent (BTT)</w:t>
        </w:r>
      </w:hyperlink>
      <w:r w:rsidDel="00000000" w:rsidR="00000000" w:rsidRPr="00000000">
        <w:rPr>
          <w:rtl w:val="0"/>
        </w:rPr>
      </w:r>
    </w:p>
    <w:p w:rsidR="00000000" w:rsidDel="00000000" w:rsidP="00000000" w:rsidRDefault="00000000" w:rsidRPr="00000000" w14:paraId="000000AF">
      <w:pPr>
        <w:spacing w:line="276" w:lineRule="auto"/>
        <w:ind w:left="720" w:firstLine="0"/>
        <w:rPr/>
      </w:pPr>
      <w:r w:rsidDel="00000000" w:rsidR="00000000" w:rsidRPr="00000000">
        <w:rPr>
          <w:rtl w:val="0"/>
        </w:rPr>
      </w:r>
    </w:p>
    <w:p w:rsidR="00000000" w:rsidDel="00000000" w:rsidP="00000000" w:rsidRDefault="00000000" w:rsidRPr="00000000" w14:paraId="000000B0">
      <w:pPr>
        <w:numPr>
          <w:ilvl w:val="0"/>
          <w:numId w:val="5"/>
        </w:numPr>
        <w:spacing w:line="276" w:lineRule="auto"/>
        <w:ind w:left="720" w:hanging="360"/>
        <w:rPr/>
      </w:pPr>
      <w:r w:rsidDel="00000000" w:rsidR="00000000" w:rsidRPr="00000000">
        <w:rPr>
          <w:rtl w:val="0"/>
        </w:rPr>
        <w:t xml:space="preserve">2019年3月2日</w:t>
      </w:r>
      <w:r w:rsidDel="00000000" w:rsidR="00000000" w:rsidRPr="00000000">
        <w:rPr>
          <w:rtl w:val="0"/>
        </w:rPr>
        <w:t xml:space="preserve">，发行</w:t>
      </w:r>
      <w:hyperlink r:id="rId12">
        <w:r w:rsidDel="00000000" w:rsidR="00000000" w:rsidRPr="00000000">
          <w:rPr>
            <w:u w:val="single"/>
            <w:rtl w:val="0"/>
          </w:rPr>
          <w:t xml:space="preserve">Fetch.AI (FET)</w:t>
        </w:r>
      </w:hyperlink>
      <w:r w:rsidDel="00000000" w:rsidR="00000000" w:rsidRPr="00000000">
        <w:rPr>
          <w:rtl w:val="0"/>
        </w:rPr>
      </w:r>
    </w:p>
    <w:p w:rsidR="00000000" w:rsidDel="00000000" w:rsidP="00000000" w:rsidRDefault="00000000" w:rsidRPr="00000000" w14:paraId="000000B1">
      <w:pPr>
        <w:spacing w:line="276" w:lineRule="auto"/>
        <w:ind w:left="720" w:firstLine="0"/>
        <w:rPr/>
      </w:pPr>
      <w:r w:rsidDel="00000000" w:rsidR="00000000" w:rsidRPr="00000000">
        <w:rPr>
          <w:rtl w:val="0"/>
        </w:rPr>
      </w:r>
    </w:p>
    <w:p w:rsidR="00000000" w:rsidDel="00000000" w:rsidP="00000000" w:rsidRDefault="00000000" w:rsidRPr="00000000" w14:paraId="000000B2">
      <w:pPr>
        <w:numPr>
          <w:ilvl w:val="0"/>
          <w:numId w:val="5"/>
        </w:numPr>
        <w:spacing w:line="276" w:lineRule="auto"/>
        <w:ind w:left="720" w:hanging="360"/>
        <w:rPr/>
      </w:pPr>
      <w:r w:rsidDel="00000000" w:rsidR="00000000" w:rsidRPr="00000000">
        <w:rPr>
          <w:rtl w:val="0"/>
        </w:rPr>
        <w:t xml:space="preserve">2019年3月24日</w:t>
      </w:r>
      <w:r w:rsidDel="00000000" w:rsidR="00000000" w:rsidRPr="00000000">
        <w:rPr>
          <w:rtl w:val="0"/>
        </w:rPr>
        <w:t xml:space="preserve">，发行</w:t>
      </w:r>
      <w:hyperlink r:id="rId13">
        <w:r w:rsidDel="00000000" w:rsidR="00000000" w:rsidRPr="00000000">
          <w:rPr>
            <w:u w:val="single"/>
            <w:rtl w:val="0"/>
          </w:rPr>
          <w:t xml:space="preserve">Celer Network (CET)</w:t>
        </w:r>
      </w:hyperlink>
      <w:r w:rsidDel="00000000" w:rsidR="00000000" w:rsidRPr="00000000">
        <w:rPr>
          <w:rtl w:val="0"/>
        </w:rPr>
      </w:r>
    </w:p>
    <w:p w:rsidR="00000000" w:rsidDel="00000000" w:rsidP="00000000" w:rsidRDefault="00000000" w:rsidRPr="00000000" w14:paraId="000000B3">
      <w:pPr>
        <w:spacing w:line="276" w:lineRule="auto"/>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本小节分析了这些在第一季度进行IEO的加密货币在第二季度（</w:t>
      </w:r>
      <w:r w:rsidDel="00000000" w:rsidR="00000000" w:rsidRPr="00000000">
        <w:rPr>
          <w:rtl w:val="0"/>
        </w:rPr>
        <w:t xml:space="preserve">2019年3月31日-6月30日</w:t>
      </w:r>
      <w:r w:rsidDel="00000000" w:rsidR="00000000" w:rsidRPr="00000000">
        <w:rPr>
          <w:rtl w:val="0"/>
        </w:rPr>
        <w:t xml:space="preserve">）的</w:t>
      </w:r>
      <w:r w:rsidDel="00000000" w:rsidR="00000000" w:rsidRPr="00000000">
        <w:rPr>
          <w:b w:val="1"/>
          <w:rtl w:val="0"/>
        </w:rPr>
        <w:t xml:space="preserve">相关性强度</w:t>
      </w:r>
      <w:r w:rsidDel="00000000" w:rsidR="00000000" w:rsidRPr="00000000">
        <w:rPr>
          <w:rtl w:val="0"/>
        </w:rPr>
        <w:t xml:space="preserve">。尽管这些项目的目标利基市场并不相关（BitTorrent专注于</w:t>
      </w:r>
      <w:r w:rsidDel="00000000" w:rsidR="00000000" w:rsidRPr="00000000">
        <w:rPr>
          <w:u w:val="single"/>
          <w:rtl w:val="0"/>
        </w:rPr>
        <w:t xml:space="preserve">去中心化文件共享</w:t>
      </w:r>
      <w:r w:rsidDel="00000000" w:rsidR="00000000" w:rsidRPr="00000000">
        <w:rPr>
          <w:rtl w:val="0"/>
        </w:rPr>
        <w:t xml:space="preserve">，Fetch专注于</w:t>
      </w:r>
      <w:r w:rsidDel="00000000" w:rsidR="00000000" w:rsidRPr="00000000">
        <w:rPr>
          <w:u w:val="single"/>
          <w:rtl w:val="0"/>
        </w:rPr>
        <w:t xml:space="preserve">先进数据市场</w:t>
      </w:r>
      <w:r w:rsidDel="00000000" w:rsidR="00000000" w:rsidRPr="00000000">
        <w:rPr>
          <w:rtl w:val="0"/>
        </w:rPr>
        <w:t xml:space="preserve">，而Celer则专注于</w:t>
      </w:r>
      <w:r w:rsidDel="00000000" w:rsidR="00000000" w:rsidRPr="00000000">
        <w:rPr>
          <w:u w:val="single"/>
          <w:rtl w:val="0"/>
        </w:rPr>
        <w:t xml:space="preserve">第二层可扩展性</w:t>
      </w:r>
      <w:r w:rsidDel="00000000" w:rsidR="00000000" w:rsidRPr="00000000">
        <w:rPr>
          <w:rtl w:val="0"/>
        </w:rPr>
        <w:t xml:space="preserve">），但它们都是在相似的市场条件下上架的，在币安完成公开发售后就立即进入了开放市场。</w:t>
      </w:r>
    </w:p>
    <w:p w:rsidR="00000000" w:rsidDel="00000000" w:rsidP="00000000" w:rsidRDefault="00000000" w:rsidRPr="00000000" w14:paraId="000000B5">
      <w:pPr>
        <w:spacing w:line="276" w:lineRule="auto"/>
        <w:rPr/>
      </w:pP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t xml:space="preserve">我们选取了</w:t>
      </w:r>
      <w:r w:rsidDel="00000000" w:rsidR="00000000" w:rsidRPr="00000000">
        <w:rPr>
          <w:rtl w:val="0"/>
        </w:rPr>
        <w:t xml:space="preserve">6月30日市值最大的7种</w:t>
      </w:r>
      <w:r w:rsidDel="00000000" w:rsidR="00000000" w:rsidRPr="00000000">
        <w:rPr>
          <w:rtl w:val="0"/>
        </w:rPr>
        <w:t xml:space="preserve">加密货币，以及在</w:t>
      </w:r>
      <w:r w:rsidDel="00000000" w:rsidR="00000000" w:rsidRPr="00000000">
        <w:rPr>
          <w:rtl w:val="0"/>
        </w:rPr>
        <w:t xml:space="preserve">2019年第二季度</w:t>
      </w:r>
      <w:r w:rsidDel="00000000" w:rsidR="00000000" w:rsidRPr="00000000">
        <w:rPr>
          <w:rtl w:val="0"/>
        </w:rPr>
        <w:t xml:space="preserve">开始之前就在币安交易平台上发售代币的</w:t>
      </w:r>
      <w:r w:rsidDel="00000000" w:rsidR="00000000" w:rsidRPr="00000000">
        <w:rPr>
          <w:rtl w:val="0"/>
        </w:rPr>
        <w:t xml:space="preserve">5个项目</w:t>
      </w:r>
      <w:r w:rsidDel="00000000" w:rsidR="00000000" w:rsidRPr="00000000">
        <w:rPr>
          <w:rtl w:val="0"/>
        </w:rPr>
        <w:t xml:space="preserve">。然后使用各项目在</w:t>
      </w:r>
      <w:r w:rsidDel="00000000" w:rsidR="00000000" w:rsidRPr="00000000">
        <w:rPr>
          <w:rtl w:val="0"/>
        </w:rPr>
        <w:t xml:space="preserve">3月31日-6月30日期间</w:t>
      </w:r>
      <w:r w:rsidDel="00000000" w:rsidR="00000000" w:rsidRPr="00000000">
        <w:rPr>
          <w:rtl w:val="0"/>
        </w:rPr>
        <w:t xml:space="preserve">的收盘涨跌进行了相关性计算。</w:t>
      </w:r>
    </w:p>
    <w:p w:rsidR="00000000" w:rsidDel="00000000" w:rsidP="00000000" w:rsidRDefault="00000000" w:rsidRPr="00000000" w14:paraId="000000B7">
      <w:pPr>
        <w:spacing w:line="276" w:lineRule="auto"/>
        <w:rPr>
          <w:b w:val="1"/>
        </w:rPr>
      </w:pP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b w:val="1"/>
          <w:rtl w:val="0"/>
        </w:rPr>
        <w:t xml:space="preserve">图5-2019年第二季度 在Launchpad上发行的加密货币日收益率相关矩阵（以美元计价）</w:t>
      </w:r>
    </w:p>
    <w:p w:rsidR="00000000" w:rsidDel="00000000" w:rsidP="00000000" w:rsidRDefault="00000000" w:rsidRPr="00000000" w14:paraId="000000B9">
      <w:pPr>
        <w:spacing w:line="276" w:lineRule="auto"/>
        <w:rPr/>
      </w:pPr>
      <w:r w:rsidDel="00000000" w:rsidR="00000000" w:rsidRPr="00000000">
        <w:rPr/>
        <w:drawing>
          <wp:inline distB="114300" distT="114300" distL="114300" distR="114300">
            <wp:extent cx="5943600" cy="3060700"/>
            <wp:effectExtent b="0" l="0" r="0" t="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t xml:space="preserve">最显而易见的是，在</w:t>
      </w:r>
      <w:r w:rsidDel="00000000" w:rsidR="00000000" w:rsidRPr="00000000">
        <w:rPr>
          <w:rtl w:val="0"/>
        </w:rPr>
        <w:t xml:space="preserve">2019年第一季度进行IEO的3个项目</w:t>
      </w:r>
      <w:r w:rsidDel="00000000" w:rsidR="00000000" w:rsidRPr="00000000">
        <w:rPr>
          <w:rtl w:val="0"/>
        </w:rPr>
        <w:t xml:space="preserve">都与市场其他加密货币</w:t>
      </w:r>
      <w:r w:rsidDel="00000000" w:rsidR="00000000" w:rsidRPr="00000000">
        <w:rPr>
          <w:b w:val="1"/>
          <w:rtl w:val="0"/>
        </w:rPr>
        <w:t xml:space="preserve">高度不相关</w:t>
      </w:r>
      <w:r w:rsidDel="00000000" w:rsidR="00000000" w:rsidRPr="00000000">
        <w:rPr>
          <w:rtl w:val="0"/>
        </w:rPr>
        <w:t xml:space="preserve">，展现出与高市值加密货币之间最低的相关性。这一效应在Launchpad近期发行的项目身上体现得更为明显，这与</w:t>
      </w:r>
      <w:r w:rsidDel="00000000" w:rsidR="00000000" w:rsidRPr="00000000">
        <w:rPr>
          <w:rtl w:val="0"/>
        </w:rPr>
        <w:t xml:space="preserve">2017年年末首次</w:t>
      </w:r>
      <w:r w:rsidDel="00000000" w:rsidR="00000000" w:rsidRPr="00000000">
        <w:rPr>
          <w:rtl w:val="0"/>
        </w:rPr>
        <w:t xml:space="preserve">在币安launchpad发行代币的两个项目Bread (BRD) and Gifto (GTO)情况截然不同。平均来看，</w:t>
      </w:r>
      <w:r w:rsidDel="00000000" w:rsidR="00000000" w:rsidRPr="00000000">
        <w:rPr>
          <w:rtl w:val="0"/>
        </w:rPr>
        <w:t xml:space="preserve">3个IEO项目</w:t>
      </w:r>
      <w:r w:rsidDel="00000000" w:rsidR="00000000" w:rsidRPr="00000000">
        <w:rPr>
          <w:rtl w:val="0"/>
        </w:rPr>
        <w:t xml:space="preserve">与群组中所有其他加密货币之间的平均相关性为</w:t>
      </w:r>
      <w:r w:rsidDel="00000000" w:rsidR="00000000" w:rsidRPr="00000000">
        <w:rPr>
          <w:rtl w:val="0"/>
        </w:rPr>
        <w:t xml:space="preserve">0.32</w:t>
      </w:r>
      <w:r w:rsidDel="00000000" w:rsidR="00000000" w:rsidRPr="00000000">
        <w:rPr>
          <w:rtl w:val="0"/>
        </w:rPr>
        <w:t xml:space="preserve">，而其他9个项目的平均相关性为</w:t>
      </w:r>
      <w:r w:rsidDel="00000000" w:rsidR="00000000" w:rsidRPr="00000000">
        <w:rPr>
          <w:rtl w:val="0"/>
        </w:rPr>
        <w:t xml:space="preserve">0.58</w:t>
      </w:r>
      <w:r w:rsidDel="00000000" w:rsidR="00000000" w:rsidRPr="00000000">
        <w:rPr>
          <w:rtl w:val="0"/>
        </w:rPr>
        <w:t xml:space="preserve">。</w:t>
      </w:r>
    </w:p>
    <w:p w:rsidR="00000000" w:rsidDel="00000000" w:rsidP="00000000" w:rsidRDefault="00000000" w:rsidRPr="00000000" w14:paraId="000000BC">
      <w:pPr>
        <w:spacing w:line="276" w:lineRule="auto"/>
        <w:rPr/>
      </w:pP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rtl w:val="0"/>
        </w:rPr>
        <w:t xml:space="preserve">我们可以清晰看到，尽管最近IEO的3个项目首次发行是以BNB定价的（至少部分是），但它们与BNB之间的相关性也较低，平均为</w:t>
      </w:r>
      <w:r w:rsidDel="00000000" w:rsidR="00000000" w:rsidRPr="00000000">
        <w:rPr>
          <w:b w:val="1"/>
          <w:rtl w:val="0"/>
        </w:rPr>
        <w:t xml:space="preserve">0.22</w:t>
      </w:r>
      <w:r w:rsidDel="00000000" w:rsidR="00000000" w:rsidRPr="00000000">
        <w:rPr>
          <w:rtl w:val="0"/>
        </w:rPr>
        <w:t xml:space="preserve">。最有趣的是，在三者之中，BitTorrent (BTT)是唯一一个在发售时同时接受BNB和波场币（TRX）两种加密货币进行筹款的项目， 但它与BNB的相关性却最高（刚好</w:t>
      </w:r>
      <w:r w:rsidDel="00000000" w:rsidR="00000000" w:rsidRPr="00000000">
        <w:rPr>
          <w:rtl w:val="0"/>
        </w:rPr>
        <w:t xml:space="preserve">0.27</w:t>
      </w:r>
      <w:r w:rsidDel="00000000" w:rsidR="00000000" w:rsidRPr="00000000">
        <w:rPr>
          <w:rtl w:val="0"/>
        </w:rPr>
        <w:t xml:space="preserve">）。</w:t>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t xml:space="preserve">3个IEO项目彼此之间的相关性相较于近期IEO的项目与非IEO项目之间的相关性来说相对较高，其中相关性最低的是BTT和FET(</w:t>
      </w:r>
      <w:r w:rsidDel="00000000" w:rsidR="00000000" w:rsidRPr="00000000">
        <w:rPr>
          <w:rtl w:val="0"/>
        </w:rPr>
        <w:t xml:space="preserve">0.48</w:t>
      </w:r>
      <w:r w:rsidDel="00000000" w:rsidR="00000000" w:rsidRPr="00000000">
        <w:rPr>
          <w:rtl w:val="0"/>
        </w:rPr>
        <w:t xml:space="preserve">)。其中的一个异数发生在Fetch和Celery之间，它们在</w:t>
      </w:r>
      <w:r w:rsidDel="00000000" w:rsidR="00000000" w:rsidRPr="00000000">
        <w:rPr>
          <w:rtl w:val="0"/>
        </w:rPr>
        <w:t xml:space="preserve">2019</w:t>
      </w:r>
      <w:r w:rsidDel="00000000" w:rsidR="00000000" w:rsidRPr="00000000">
        <w:rPr>
          <w:rtl w:val="0"/>
        </w:rPr>
        <w:t xml:space="preserve">年第二季度展现出</w:t>
      </w:r>
      <w:r w:rsidDel="00000000" w:rsidR="00000000" w:rsidRPr="00000000">
        <w:rPr>
          <w:b w:val="1"/>
          <w:rtl w:val="0"/>
        </w:rPr>
        <w:t xml:space="preserve">惊人的高度相关性</w:t>
      </w:r>
      <w:r w:rsidDel="00000000" w:rsidR="00000000" w:rsidRPr="00000000">
        <w:rPr>
          <w:rtl w:val="0"/>
        </w:rPr>
        <w:t xml:space="preserve">，达到0.87。出现这一现象有可能是因为它们都是</w:t>
      </w:r>
      <w:r w:rsidDel="00000000" w:rsidR="00000000" w:rsidRPr="00000000">
        <w:rPr>
          <w:rtl w:val="0"/>
        </w:rPr>
        <w:t xml:space="preserve">于3月份</w:t>
      </w:r>
      <w:r w:rsidDel="00000000" w:rsidR="00000000" w:rsidRPr="00000000">
        <w:rPr>
          <w:rtl w:val="0"/>
        </w:rPr>
        <w:t xml:space="preserve">在相似的市场条件下发行的，而BitTorrent的发行时间则要比它们早整整</w:t>
      </w:r>
      <w:r w:rsidDel="00000000" w:rsidR="00000000" w:rsidRPr="00000000">
        <w:rPr>
          <w:rtl w:val="0"/>
        </w:rPr>
        <w:t xml:space="preserve">1个月</w:t>
      </w:r>
      <w:r w:rsidDel="00000000" w:rsidR="00000000" w:rsidRPr="00000000">
        <w:rPr>
          <w:rtl w:val="0"/>
        </w:rPr>
        <w:t xml:space="preserve">。</w:t>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t xml:space="preserve">到底还有多少行业特性或者项目自身的特性也对加总体相关性做出了贡献，这还有待观察。随着越来越多的资产进行IEO，我们还需要观察本报告中的某些结果是否在未来会保持不变，以及部分发现是否适用于更大范围的加密资产</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0C2">
      <w:pPr>
        <w:pStyle w:val="Heading1"/>
        <w:spacing w:line="276" w:lineRule="auto"/>
        <w:rPr/>
      </w:pPr>
      <w:r w:rsidDel="00000000" w:rsidR="00000000" w:rsidRPr="00000000">
        <w:rPr>
          <w:rtl w:val="0"/>
        </w:rPr>
        <w:t xml:space="preserve">5. 结论</w:t>
      </w:r>
    </w:p>
    <w:p w:rsidR="00000000" w:rsidDel="00000000" w:rsidP="00000000" w:rsidRDefault="00000000" w:rsidRPr="00000000" w14:paraId="000000C3">
      <w:pPr>
        <w:spacing w:line="276" w:lineRule="auto"/>
        <w:rPr/>
      </w:pPr>
      <w:r w:rsidDel="00000000" w:rsidR="00000000" w:rsidRPr="00000000">
        <w:rPr>
          <w:rtl w:val="0"/>
        </w:rPr>
        <w:t xml:space="preserve">与2019年第一季度相比，2019年第二季度比特币和大部分其他大市值加密资产之间的平均相关性有所下降，然而，其他加密资产之间的总体相关性仍然</w:t>
      </w:r>
      <w:r w:rsidDel="00000000" w:rsidR="00000000" w:rsidRPr="00000000">
        <w:rPr>
          <w:b w:val="1"/>
          <w:rtl w:val="0"/>
        </w:rPr>
        <w:t xml:space="preserve">保持较高水平</w:t>
      </w:r>
      <w:r w:rsidDel="00000000" w:rsidR="00000000" w:rsidRPr="00000000">
        <w:rPr>
          <w:rtl w:val="0"/>
        </w:rPr>
        <w:t xml:space="preserve">。</w:t>
      </w:r>
    </w:p>
    <w:p w:rsidR="00000000" w:rsidDel="00000000" w:rsidP="00000000" w:rsidRDefault="00000000" w:rsidRPr="00000000" w14:paraId="000000C4">
      <w:pPr>
        <w:spacing w:line="276" w:lineRule="auto"/>
        <w:rPr/>
      </w:pP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b w:val="1"/>
          <w:rtl w:val="0"/>
        </w:rPr>
        <w:t xml:space="preserve">特质因子</w:t>
      </w:r>
      <w:r w:rsidDel="00000000" w:rsidR="00000000" w:rsidRPr="00000000">
        <w:rPr>
          <w:rtl w:val="0"/>
        </w:rPr>
        <w:t xml:space="preserve">被视为影响加密货币和数字资产之间相关性强度的关键因素，这与我们之前几份报告的发现是相符的。</w:t>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pPr>
      <w:r w:rsidDel="00000000" w:rsidR="00000000" w:rsidRPr="00000000">
        <w:rPr>
          <w:rtl w:val="0"/>
        </w:rPr>
        <w:t xml:space="preserve">比特币与其他资产之间相关性的显著下降有可能是由潜在的投资者行为出现“质量偏好”（flight-to-quality）导致的，这与2017年牛市初期比特币市场占有率上升时的情形非常相似。</w:t>
      </w:r>
    </w:p>
    <w:p w:rsidR="00000000" w:rsidDel="00000000" w:rsidP="00000000" w:rsidRDefault="00000000" w:rsidRPr="00000000" w14:paraId="000000C8">
      <w:pPr>
        <w:spacing w:line="276" w:lineRule="auto"/>
        <w:rPr/>
      </w:pPr>
      <w:bookmarkStart w:colFirst="0" w:colLast="0" w:name="_nneb1nrmujum" w:id="5"/>
      <w:bookmarkEnd w:id="5"/>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t xml:space="preserve">本报告侧重于研究加密货币行业</w:t>
      </w:r>
      <w:r w:rsidDel="00000000" w:rsidR="00000000" w:rsidRPr="00000000">
        <w:rPr>
          <w:b w:val="1"/>
          <w:rtl w:val="0"/>
        </w:rPr>
        <w:t xml:space="preserve">相关性的近期变化</w:t>
      </w:r>
      <w:r w:rsidDel="00000000" w:rsidR="00000000" w:rsidRPr="00000000">
        <w:rPr>
          <w:rtl w:val="0"/>
        </w:rPr>
        <w:t xml:space="preserve">，并对未来趋势开展分析，有助于评估当前的加密货币市场环境是否与传统金融市场在牛市早期阶段曾出现过的情形相似。</w:t>
      </w:r>
    </w:p>
    <w:p w:rsidR="00000000" w:rsidDel="00000000" w:rsidP="00000000" w:rsidRDefault="00000000" w:rsidRPr="00000000" w14:paraId="000000CA">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CB">
      <w:pPr>
        <w:spacing w:line="276" w:lineRule="auto"/>
        <w:rPr/>
      </w:pPr>
      <w:r w:rsidDel="00000000" w:rsidR="00000000" w:rsidRPr="00000000">
        <w:rPr>
          <w:rtl w:val="0"/>
        </w:rPr>
      </w:r>
    </w:p>
    <w:p w:rsidR="00000000" w:rsidDel="00000000" w:rsidP="00000000" w:rsidRDefault="00000000" w:rsidRPr="00000000" w14:paraId="000000CC">
      <w:pPr>
        <w:spacing w:line="276" w:lineRule="auto"/>
        <w:rPr>
          <w:sz w:val="12"/>
          <w:szCs w:val="12"/>
        </w:rPr>
      </w:pPr>
      <w:r w:rsidDel="00000000" w:rsidR="00000000" w:rsidRPr="00000000">
        <w:rPr>
          <w:sz w:val="12"/>
          <w:szCs w:val="12"/>
          <w:rtl w:val="0"/>
        </w:rPr>
        <w:t xml:space="preserve">This report has been prepared solely for informative purposes and should not be the basis for making investment decisions or be construed as a recommendation to engage in investment transactions or be taken to suggest an investment strategy in respect of any financial instruments or the issuers thereof. This report released by Binance Research is not related to the provision of advisory services regarding investment, tax, legal, financial, accounting, consulting or any other related services and are not recommendations to buy, sell, or hold any asset. The information contained in this report is based on sources considered to be reliable, but not guaranteed, to be accurate or complete. Any opinions or estimates expressed herein reflect a judgment made as of this date, and are subject to change without notice. Binance Research will not be liable whatsoever for any direct or consequential loss arising from the use of this publication/communication or its contents.</w:t>
      </w:r>
    </w:p>
    <w:p w:rsidR="00000000" w:rsidDel="00000000" w:rsidP="00000000" w:rsidRDefault="00000000" w:rsidRPr="00000000" w14:paraId="000000CD">
      <w:pPr>
        <w:spacing w:line="276" w:lineRule="auto"/>
        <w:rPr/>
      </w:pPr>
      <w:r w:rsidDel="00000000" w:rsidR="00000000" w:rsidRPr="00000000">
        <w:rPr>
          <w:sz w:val="12"/>
          <w:szCs w:val="12"/>
          <w:rtl w:val="0"/>
        </w:rPr>
        <w:t xml:space="preserve">本报告仅用于提供信息，不应作为投资决策的依据，也不应被理解为参与投资交易的建议或针对任何金融工具或其发行人提出的投资策略建议。币安研究院发布的这份报告与投资、税务、法律、金融、会计、咨询或任何其他相关服务的咨询服务无关，也并非购买、出售或持有任何资产的建议。本报告中包含的信息基于被认为可靠的来源，但不能保证其准确性或完整性。此处表达的任何意见或估计反映了截至此日期做出的判断，可能会在不公开通知的情况下做出变更。币安研究院对因使用本出版物/通讯或其内容而导致的任何直接或间接损失概不负责。</w:t>
      </w: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sz w:val="18"/>
          <w:szCs w:val="18"/>
        </w:rPr>
      </w:pPr>
      <w:r w:rsidDel="00000000" w:rsidR="00000000" w:rsidRPr="00000000">
        <w:rPr>
          <w:sz w:val="18"/>
          <w:szCs w:val="18"/>
          <w:rtl w:val="0"/>
        </w:rPr>
        <w:t xml:space="preserve">Binance Research provides in-depth analysis and data-driven insights of digital assets by generating unbiased, institutional-grade research reports for investors in the crypto space.</w:t>
      </w:r>
    </w:p>
    <w:p w:rsidR="00000000" w:rsidDel="00000000" w:rsidP="00000000" w:rsidRDefault="00000000" w:rsidRPr="00000000" w14:paraId="000000D0">
      <w:pPr>
        <w:spacing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币安研究院通过客观中立的机构级研究报告，为加密货币领域的投资者提供针对数字资产的深度分析和以数据为驱动的洞察意见。</w:t>
      </w:r>
    </w:p>
    <w:p w:rsidR="00000000" w:rsidDel="00000000" w:rsidP="00000000" w:rsidRDefault="00000000" w:rsidRPr="00000000" w14:paraId="000000D1">
      <w:pPr>
        <w:spacing w:line="276" w:lineRule="auto"/>
        <w:rPr>
          <w:sz w:val="6"/>
          <w:szCs w:val="6"/>
        </w:rPr>
      </w:pPr>
      <w:r w:rsidDel="00000000" w:rsidR="00000000" w:rsidRPr="00000000">
        <w:rPr>
          <w:rtl w:val="0"/>
        </w:rPr>
      </w:r>
    </w:p>
    <w:p w:rsidR="00000000" w:rsidDel="00000000" w:rsidP="00000000" w:rsidRDefault="00000000" w:rsidRPr="00000000" w14:paraId="000000D2">
      <w:pPr>
        <w:spacing w:line="276" w:lineRule="auto"/>
        <w:jc w:val="right"/>
        <w:rPr/>
      </w:pPr>
      <w:r w:rsidDel="00000000" w:rsidR="00000000" w:rsidRPr="00000000">
        <w:rPr>
          <w:sz w:val="18"/>
          <w:szCs w:val="18"/>
        </w:rPr>
        <w:drawing>
          <wp:inline distB="114300" distT="114300" distL="114300" distR="114300">
            <wp:extent cx="1468735" cy="623888"/>
            <wp:effectExtent b="0" l="0" r="0" t="0"/>
            <wp:docPr id="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468735" cy="62388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jc w:val="right"/>
        <w:rPr/>
      </w:pPr>
      <w:r w:rsidDel="00000000" w:rsidR="00000000" w:rsidRPr="00000000">
        <w:rPr>
          <w:rtl w:val="0"/>
        </w:rPr>
      </w:r>
    </w:p>
    <w:sectPr>
      <w:headerReference r:id="rId16" w:type="default"/>
      <w:headerReference r:id="rId17" w:type="first"/>
      <w:footerReference r:id="rId18" w:type="default"/>
      <w:footerReference r:id="rId19"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2019年3月20日发布的报告</w:t>
      </w:r>
      <w:r w:rsidDel="00000000" w:rsidR="00000000" w:rsidRPr="00000000">
        <w:rPr>
          <w:sz w:val="18"/>
          <w:szCs w:val="18"/>
          <w:rtl w:val="0"/>
        </w:rPr>
        <w:t xml:space="preserve">《加密资产之间存在高度相关性吗？》</w:t>
      </w:r>
      <w:hyperlink r:id="rId1">
        <w:r w:rsidDel="00000000" w:rsidR="00000000" w:rsidRPr="00000000">
          <w:rPr>
            <w:color w:val="0000ff"/>
            <w:sz w:val="18"/>
            <w:szCs w:val="18"/>
            <w:u w:val="single"/>
            <w:rtl w:val="0"/>
          </w:rPr>
          <w:t xml:space="preserve">https://info.binance.com/en/research/marketresearch/crypto-correlations.html</w:t>
        </w:r>
      </w:hyperlink>
      <w:r w:rsidDel="00000000" w:rsidR="00000000" w:rsidRPr="00000000">
        <w:rPr>
          <w:rtl w:val="0"/>
        </w:rPr>
      </w:r>
    </w:p>
  </w:footnote>
  <w:footnote w:id="1">
    <w:p w:rsidR="00000000" w:rsidDel="00000000" w:rsidP="00000000" w:rsidRDefault="00000000" w:rsidRPr="00000000" w14:paraId="000000D9">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color w:val="1155cc"/>
            <w:sz w:val="18"/>
            <w:szCs w:val="18"/>
            <w:u w:val="single"/>
            <w:rtl w:val="0"/>
          </w:rPr>
          <w:t xml:space="preserve">https://www.coindesk.com/smart-contract-startup-tapped-by-google-as-blockchain-partner</w:t>
        </w:r>
      </w:hyperlink>
      <w:r w:rsidDel="00000000" w:rsidR="00000000" w:rsidRPr="00000000">
        <w:rPr>
          <w:rtl w:val="0"/>
        </w:rPr>
      </w:r>
    </w:p>
  </w:footnote>
  <w:footnote w:id="2">
    <w:p w:rsidR="00000000" w:rsidDel="00000000" w:rsidP="00000000" w:rsidRDefault="00000000" w:rsidRPr="00000000" w14:paraId="000000DA">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
        <w:r w:rsidDel="00000000" w:rsidR="00000000" w:rsidRPr="00000000">
          <w:rPr>
            <w:color w:val="1155cc"/>
            <w:sz w:val="18"/>
            <w:szCs w:val="18"/>
            <w:u w:val="single"/>
            <w:rtl w:val="0"/>
          </w:rPr>
          <w:t xml:space="preserve">https://medium.com/matic-network/matic-partners-with-chainlink-15f9d5cb87df</w:t>
        </w:r>
      </w:hyperlink>
      <w:r w:rsidDel="00000000" w:rsidR="00000000" w:rsidRPr="00000000">
        <w:rPr>
          <w:rtl w:val="0"/>
        </w:rPr>
      </w:r>
    </w:p>
  </w:footnote>
  <w:footnote w:id="3">
    <w:p w:rsidR="00000000" w:rsidDel="00000000" w:rsidP="00000000" w:rsidRDefault="00000000" w:rsidRPr="00000000" w14:paraId="000000DB">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4">
        <w:r w:rsidDel="00000000" w:rsidR="00000000" w:rsidRPr="00000000">
          <w:rPr>
            <w:color w:val="1155cc"/>
            <w:sz w:val="18"/>
            <w:szCs w:val="18"/>
            <w:u w:val="single"/>
            <w:rtl w:val="0"/>
          </w:rPr>
          <w:t xml:space="preserve">https://coingape.com/fake-chinese-news-binance-rumor-bitcoin-sv-prize/</w:t>
        </w:r>
      </w:hyperlink>
      <w:r w:rsidDel="00000000" w:rsidR="00000000" w:rsidRPr="00000000">
        <w:rPr>
          <w:rtl w:val="0"/>
        </w:rPr>
      </w:r>
    </w:p>
  </w:footnote>
  <w:footnote w:id="4">
    <w:p w:rsidR="00000000" w:rsidDel="00000000" w:rsidP="00000000" w:rsidRDefault="00000000" w:rsidRPr="00000000" w14:paraId="000000DC">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
        <w:r w:rsidDel="00000000" w:rsidR="00000000" w:rsidRPr="00000000">
          <w:rPr>
            <w:color w:val="1155cc"/>
            <w:sz w:val="18"/>
            <w:szCs w:val="18"/>
            <w:u w:val="single"/>
            <w:rtl w:val="0"/>
          </w:rPr>
          <w:t xml:space="preserve">https://www.coindesk.com/kraken-exchange-joins-binance-shapeshift-in-delisting-bitcoin-sv</w:t>
        </w:r>
      </w:hyperlink>
      <w:r w:rsidDel="00000000" w:rsidR="00000000" w:rsidRPr="00000000">
        <w:rPr>
          <w:rtl w:val="0"/>
        </w:rPr>
      </w:r>
    </w:p>
  </w:footnote>
  <w:footnote w:id="5">
    <w:p w:rsidR="00000000" w:rsidDel="00000000" w:rsidP="00000000" w:rsidRDefault="00000000" w:rsidRPr="00000000" w14:paraId="000000D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我们在之前有关相关性的报告中对相反的现象进行过探讨，在该报告中，恒星币上架币安交易平台导致其与上架币安平台的加密货币之间呈现出更高的相关性。</w:t>
      </w:r>
    </w:p>
  </w:footnote>
  <w:footnote w:id="6">
    <w:p w:rsidR="00000000" w:rsidDel="00000000" w:rsidP="00000000" w:rsidRDefault="00000000" w:rsidRPr="00000000" w14:paraId="000000DE">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该相关矩阵展现的收益率与</w:t>
      </w:r>
      <w:r w:rsidDel="00000000" w:rsidR="00000000" w:rsidRPr="00000000">
        <w:rPr>
          <w:sz w:val="18"/>
          <w:szCs w:val="18"/>
          <w:rtl w:val="0"/>
        </w:rPr>
        <w:t xml:space="preserve">2019年3月20</w:t>
      </w:r>
      <w:r w:rsidDel="00000000" w:rsidR="00000000" w:rsidRPr="00000000">
        <w:rPr>
          <w:sz w:val="18"/>
          <w:szCs w:val="18"/>
          <w:rtl w:val="0"/>
        </w:rPr>
        <w:t xml:space="preserve">日发布的《加密资产之间存在高度相关性吗？》所分析的收益率存在2个月的重合（</w:t>
      </w:r>
      <w:r w:rsidDel="00000000" w:rsidR="00000000" w:rsidRPr="00000000">
        <w:rPr>
          <w:sz w:val="18"/>
          <w:szCs w:val="18"/>
          <w:rtl w:val="0"/>
        </w:rPr>
        <w:t xml:space="preserve">2019年1月和2月</w:t>
      </w:r>
      <w:r w:rsidDel="00000000" w:rsidR="00000000" w:rsidRPr="00000000">
        <w:rPr>
          <w:sz w:val="18"/>
          <w:szCs w:val="18"/>
          <w:rtl w:val="0"/>
        </w:rPr>
        <w:t xml:space="preserve">）</w:t>
      </w:r>
      <w:hyperlink r:id="rId6">
        <w:r w:rsidDel="00000000" w:rsidR="00000000" w:rsidRPr="00000000">
          <w:rPr>
            <w:sz w:val="18"/>
            <w:szCs w:val="18"/>
            <w:u w:val="single"/>
            <w:rtl w:val="0"/>
          </w:rPr>
          <w:t xml:space="preserve">https://info.binance.com/en/research/marketresearch/crypto-correlations.html</w:t>
        </w:r>
      </w:hyperlink>
      <w:r w:rsidDel="00000000" w:rsidR="00000000" w:rsidRPr="00000000">
        <w:rPr>
          <w:sz w:val="18"/>
          <w:szCs w:val="18"/>
          <w:rtl w:val="0"/>
        </w:rPr>
        <w:t xml:space="preserve"> </w:t>
      </w:r>
    </w:p>
  </w:footnote>
  <w:footnote w:id="7">
    <w:p w:rsidR="00000000" w:rsidDel="00000000" w:rsidP="00000000" w:rsidRDefault="00000000" w:rsidRPr="00000000" w14:paraId="000000D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
        <w:r w:rsidDel="00000000" w:rsidR="00000000" w:rsidRPr="00000000">
          <w:rPr>
            <w:color w:val="1155cc"/>
            <w:sz w:val="18"/>
            <w:szCs w:val="18"/>
            <w:u w:val="single"/>
            <w:rtl w:val="0"/>
          </w:rPr>
          <w:t xml:space="preserve">https://blog.kraken.com/post/2274/kraken-is-delisting-bsv/</w:t>
        </w:r>
      </w:hyperlink>
      <w:r w:rsidDel="00000000" w:rsidR="00000000" w:rsidRPr="00000000">
        <w:rPr>
          <w:sz w:val="18"/>
          <w:szCs w:val="18"/>
          <w:rtl w:val="0"/>
        </w:rPr>
        <w:t xml:space="preserve"> </w:t>
      </w:r>
    </w:p>
  </w:footnote>
  <w:footnote w:id="8">
    <w:p w:rsidR="00000000" w:rsidDel="00000000" w:rsidP="00000000" w:rsidRDefault="00000000" w:rsidRPr="00000000" w14:paraId="000000E0">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
        <w:r w:rsidDel="00000000" w:rsidR="00000000" w:rsidRPr="00000000">
          <w:rPr>
            <w:color w:val="1155cc"/>
            <w:sz w:val="18"/>
            <w:szCs w:val="18"/>
            <w:u w:val="single"/>
            <w:rtl w:val="0"/>
          </w:rPr>
          <w:t xml:space="preserve">https://www.binance.com/en/support/articles/360026666152-Binance-Will-Delist-BCHSV</w:t>
        </w:r>
      </w:hyperlink>
      <w:r w:rsidDel="00000000" w:rsidR="00000000" w:rsidRPr="00000000">
        <w:rPr>
          <w:sz w:val="18"/>
          <w:szCs w:val="18"/>
          <w:rtl w:val="0"/>
        </w:rPr>
        <w:t xml:space="preserve"> </w:t>
      </w:r>
    </w:p>
  </w:footnote>
  <w:footnote w:id="9">
    <w:p w:rsidR="00000000" w:rsidDel="00000000" w:rsidP="00000000" w:rsidRDefault="00000000" w:rsidRPr="00000000" w14:paraId="000000E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详见我们首份关于去中心化融资及借贷平台和协议的报告。</w:t>
      </w:r>
      <w:hyperlink r:id="rId9">
        <w:r w:rsidDel="00000000" w:rsidR="00000000" w:rsidRPr="00000000">
          <w:rPr>
            <w:color w:val="0000ff"/>
            <w:sz w:val="18"/>
            <w:szCs w:val="18"/>
            <w:u w:val="single"/>
            <w:rtl w:val="0"/>
          </w:rPr>
          <w:t xml:space="preserve">https://info.binance.com/en/research/marketresearch/defi-1.html</w:t>
        </w:r>
      </w:hyperlink>
      <w:r w:rsidDel="00000000" w:rsidR="00000000" w:rsidRPr="00000000">
        <w:rPr>
          <w:sz w:val="18"/>
          <w:szCs w:val="18"/>
          <w:rtl w:val="0"/>
        </w:rPr>
        <w:t xml:space="preserve"> </w:t>
      </w:r>
    </w:p>
  </w:footnote>
  <w:footnote w:id="10">
    <w:p w:rsidR="00000000" w:rsidDel="00000000" w:rsidP="00000000" w:rsidRDefault="00000000" w:rsidRPr="00000000" w14:paraId="000000E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2019年二季度 Launchpad项目（如MATIC、Harmony和Elrond）将在三季度报告中进行分析。</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-928687</wp:posOffset>
              </wp:positionH>
              <wp:positionV relativeFrom="paragraph">
                <wp:posOffset>-457199</wp:posOffset>
              </wp:positionV>
              <wp:extent cx="7805738" cy="1666875"/>
              <wp:effectExtent b="0" l="0" r="0" t="0"/>
              <wp:wrapTopAndBottom distB="0" distT="0"/>
              <wp:docPr id="1" name=""/>
              <a:graphic>
                <a:graphicData uri="http://schemas.microsoft.com/office/word/2010/wordprocessingShape">
                  <wps:wsp>
                    <wps:cNvSpPr/>
                    <wps:cNvPr id="2" name="Shape 2"/>
                    <wps:spPr>
                      <a:xfrm>
                        <a:off x="1890850" y="1406025"/>
                        <a:ext cx="5216700" cy="901800"/>
                      </a:xfrm>
                      <a:prstGeom prst="rect">
                        <a:avLst/>
                      </a:prstGeom>
                      <a:gradFill>
                        <a:gsLst>
                          <a:gs pos="0">
                            <a:srgbClr val="696969"/>
                          </a:gs>
                          <a:gs pos="100000">
                            <a:srgbClr val="1D1D1D"/>
                          </a:gs>
                        </a:gsLst>
                        <a:lin ang="2700006"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-928687</wp:posOffset>
              </wp:positionH>
              <wp:positionV relativeFrom="paragraph">
                <wp:posOffset>-457199</wp:posOffset>
              </wp:positionV>
              <wp:extent cx="7805738" cy="1666875"/>
              <wp:effectExtent b="0" l="0" r="0" t="0"/>
              <wp:wrapTopAndBottom distB="0" distT="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805738" cy="16668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76201</wp:posOffset>
          </wp:positionV>
          <wp:extent cx="3571155" cy="681038"/>
          <wp:effectExtent b="0" l="0" r="0" t="0"/>
          <wp:wrapTopAndBottom distB="114300" distT="114300"/>
          <wp:docPr id="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571155" cy="6810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color w:val="434343"/>
      <w:sz w:val="32"/>
      <w:szCs w:val="32"/>
    </w:rPr>
  </w:style>
  <w:style w:type="paragraph" w:styleId="Heading3">
    <w:name w:val="heading 3"/>
    <w:basedOn w:val="Normal"/>
    <w:next w:val="Normal"/>
    <w:pPr>
      <w:keepNext w:val="1"/>
      <w:keepLines w:val="1"/>
      <w:spacing w:after="80" w:before="320" w:lineRule="auto"/>
    </w:pPr>
    <w:rPr>
      <w:sz w:val="28"/>
      <w:szCs w:val="28"/>
    </w:rPr>
  </w:style>
  <w:style w:type="paragraph" w:styleId="Heading4">
    <w:name w:val="heading 4"/>
    <w:basedOn w:val="Normal"/>
    <w:next w:val="Normal"/>
    <w:pPr>
      <w:keepNext w:val="1"/>
      <w:keepLines w:val="1"/>
      <w:spacing w:after="80" w:before="280" w:lineRule="auto"/>
    </w:pPr>
    <w:rPr>
      <w:sz w:val="24"/>
      <w:szCs w:val="24"/>
    </w:rPr>
  </w:style>
  <w:style w:type="paragraph" w:styleId="Heading5">
    <w:name w:val="heading 5"/>
    <w:basedOn w:val="Normal"/>
    <w:next w:val="Normal"/>
    <w:pPr>
      <w:keepNext w:val="1"/>
      <w:keepLines w:val="1"/>
      <w:spacing w:after="80" w:before="240" w:lineRule="auto"/>
    </w:pPr>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before="200" w:line="240" w:lineRule="auto"/>
    </w:pPr>
    <w:rPr>
      <w:sz w:val="56"/>
      <w:szCs w:val="56"/>
    </w:rPr>
  </w:style>
  <w:style w:type="paragraph" w:styleId="Subtitle">
    <w:name w:val="Subtitle"/>
    <w:basedOn w:val="Normal"/>
    <w:next w:val="Normal"/>
    <w:pPr>
      <w:keepNext w:val="1"/>
      <w:keepLines w:val="1"/>
      <w:spacing w:line="240" w:lineRule="auto"/>
    </w:pPr>
    <w:rPr>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launchpad.binance.com/en/project/b59f6326d9964e19bcc8e356d0becacb" TargetMode="External"/><Relationship Id="rId10" Type="http://schemas.openxmlformats.org/officeDocument/2006/relationships/image" Target="media/image6.png"/><Relationship Id="rId13" Type="http://schemas.openxmlformats.org/officeDocument/2006/relationships/hyperlink" Target="https://launchpad.binance.com/en/project/3e0a5805b2b44d08b6395d25a5bc67c7" TargetMode="External"/><Relationship Id="rId12" Type="http://schemas.openxmlformats.org/officeDocument/2006/relationships/hyperlink" Target="https://launchpad.binance.com/en/project/2257c99defde41fea7c89eacda99b5c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info.binance.com/en/research/marketresearch/crypto-correlations.html" TargetMode="External"/><Relationship Id="rId2" Type="http://schemas.openxmlformats.org/officeDocument/2006/relationships/hyperlink" Target="https://www.coindesk.com/smart-contract-startup-tapped-by-google-as-blockchain-partner" TargetMode="External"/><Relationship Id="rId3" Type="http://schemas.openxmlformats.org/officeDocument/2006/relationships/hyperlink" Target="https://medium.com/matic-network/matic-partners-with-chainlink-15f9d5cb87df" TargetMode="External"/><Relationship Id="rId4" Type="http://schemas.openxmlformats.org/officeDocument/2006/relationships/hyperlink" Target="https://coingape.com/fake-chinese-news-binance-rumor-bitcoin-sv-prize/" TargetMode="External"/><Relationship Id="rId9" Type="http://schemas.openxmlformats.org/officeDocument/2006/relationships/hyperlink" Target="https://info.binance.com/en/research/marketresearch/defi-1.html" TargetMode="External"/><Relationship Id="rId5" Type="http://schemas.openxmlformats.org/officeDocument/2006/relationships/hyperlink" Target="https://www.coindesk.com/kraken-exchange-joins-binance-shapeshift-in-delisting-bitcoin-sv" TargetMode="External"/><Relationship Id="rId6" Type="http://schemas.openxmlformats.org/officeDocument/2006/relationships/hyperlink" Target="https://info.binance.com/en/research/marketresearch/crypto-correlations.html" TargetMode="External"/><Relationship Id="rId7" Type="http://schemas.openxmlformats.org/officeDocument/2006/relationships/hyperlink" Target="https://blog.kraken.com/post/2274/kraken-is-delisting-bsv/" TargetMode="External"/><Relationship Id="rId8" Type="http://schemas.openxmlformats.org/officeDocument/2006/relationships/hyperlink" Target="https://www.binance.com/en/support/articles/360026666152-Binance-Will-Delist-BCHS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